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spacing w:val="0"/>
          <w:sz w:val="44"/>
          <w:szCs w:val="44"/>
          <w:lang w:eastAsia="zh-CN"/>
        </w:rPr>
      </w:pPr>
      <w:r>
        <w:rPr>
          <w:rFonts w:hint="eastAsia" w:ascii="方正小标宋简体" w:hAnsi="方正小标宋简体" w:eastAsia="方正小标宋简体" w:cs="方正小标宋简体"/>
          <w:b w:val="0"/>
          <w:bCs w:val="0"/>
          <w:sz w:val="44"/>
          <w:szCs w:val="44"/>
        </w:rPr>
        <w:t> </w:t>
      </w:r>
      <w:r>
        <w:rPr>
          <w:rFonts w:hint="eastAsia" w:ascii="方正小标宋简体" w:hAnsi="方正小标宋简体" w:eastAsia="方正小标宋简体" w:cs="方正小标宋简体"/>
          <w:b w:val="0"/>
          <w:bCs w:val="0"/>
          <w:sz w:val="44"/>
          <w:szCs w:val="44"/>
          <w:lang w:val="en-US" w:eastAsia="zh-CN"/>
        </w:rPr>
        <w:t xml:space="preserve"> </w:t>
      </w:r>
      <w:r>
        <w:rPr>
          <w:rFonts w:hint="eastAsia" w:ascii="方正小标宋简体" w:hAnsi="方正小标宋简体" w:eastAsia="方正小标宋简体" w:cs="方正小标宋简体"/>
          <w:b w:val="0"/>
          <w:bCs w:val="0"/>
          <w:sz w:val="44"/>
          <w:szCs w:val="44"/>
        </w:rPr>
        <w:t> </w:t>
      </w:r>
      <w:r>
        <w:rPr>
          <w:rFonts w:hint="eastAsia" w:ascii="方正小标宋简体" w:hAnsi="方正小标宋简体" w:eastAsia="方正小标宋简体" w:cs="方正小标宋简体"/>
          <w:b w:val="0"/>
          <w:bCs w:val="0"/>
          <w:sz w:val="44"/>
          <w:szCs w:val="44"/>
          <w:lang w:val="en-US" w:eastAsia="zh-CN"/>
        </w:rPr>
        <w:t>石嘴山市</w:t>
      </w:r>
      <w:r>
        <w:rPr>
          <w:rFonts w:hint="eastAsia" w:ascii="方正小标宋简体" w:hAnsi="方正小标宋简体" w:eastAsia="方正小标宋简体" w:cs="方正小标宋简体"/>
          <w:b w:val="0"/>
          <w:bCs w:val="0"/>
          <w:i w:val="0"/>
          <w:iCs w:val="0"/>
          <w:caps w:val="0"/>
          <w:spacing w:val="0"/>
          <w:sz w:val="44"/>
          <w:szCs w:val="44"/>
        </w:rPr>
        <w:t>气象局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left="0" w:right="0" w:firstLine="0"/>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i w:val="0"/>
          <w:iCs w:val="0"/>
          <w:caps w:val="0"/>
          <w:spacing w:val="0"/>
          <w:sz w:val="44"/>
          <w:szCs w:val="44"/>
        </w:rPr>
        <w:t>2023年政府信息公开工作年度报告</w:t>
      </w:r>
    </w:p>
    <w:p>
      <w:pPr>
        <w:keepNext w:val="0"/>
        <w:keepLines w:val="0"/>
        <w:pageBreakBefore w:val="0"/>
        <w:widowControl/>
        <w:shd w:val="clear" w:color="auto" w:fill="auto"/>
        <w:kinsoku/>
        <w:wordWrap/>
        <w:overflowPunct/>
        <w:topLinePunct w:val="0"/>
        <w:autoSpaceDE/>
        <w:autoSpaceDN/>
        <w:bidi w:val="0"/>
        <w:adjustRightInd/>
        <w:snapToGrid/>
        <w:spacing w:line="560" w:lineRule="exact"/>
        <w:ind w:firstLine="640" w:firstLineChars="200"/>
        <w:jc w:val="both"/>
        <w:rPr>
          <w:rFonts w:hint="eastAsia" w:ascii="黑体" w:hAnsi="黑体" w:eastAsia="黑体" w:cs="黑体"/>
          <w:b w:val="0"/>
          <w:bCs w:val="0"/>
          <w:color w:val="auto"/>
          <w:kern w:val="2"/>
          <w:sz w:val="32"/>
          <w:szCs w:val="32"/>
        </w:rPr>
      </w:pPr>
    </w:p>
    <w:p>
      <w:pPr>
        <w:keepNext w:val="0"/>
        <w:keepLines w:val="0"/>
        <w:pageBreakBefore w:val="0"/>
        <w:widowControl/>
        <w:shd w:val="clear" w:color="auto" w:fill="auto"/>
        <w:kinsoku/>
        <w:wordWrap/>
        <w:overflowPunct/>
        <w:topLinePunct w:val="0"/>
        <w:autoSpaceDE/>
        <w:autoSpaceDN/>
        <w:bidi w:val="0"/>
        <w:adjustRightInd/>
        <w:snapToGrid/>
        <w:spacing w:line="560" w:lineRule="exact"/>
        <w:ind w:firstLine="640" w:firstLineChars="200"/>
        <w:jc w:val="both"/>
        <w:rPr>
          <w:rFonts w:hint="eastAsia" w:ascii="黑体" w:hAnsi="黑体" w:eastAsia="黑体" w:cs="黑体"/>
          <w:b w:val="0"/>
          <w:bCs w:val="0"/>
          <w:color w:val="auto"/>
          <w:kern w:val="2"/>
          <w:sz w:val="32"/>
          <w:szCs w:val="32"/>
        </w:rPr>
      </w:pPr>
      <w:r>
        <w:rPr>
          <w:rFonts w:hint="eastAsia" w:ascii="黑体" w:hAnsi="黑体" w:eastAsia="黑体" w:cs="黑体"/>
          <w:b w:val="0"/>
          <w:bCs w:val="0"/>
          <w:color w:val="auto"/>
          <w:kern w:val="2"/>
          <w:sz w:val="32"/>
          <w:szCs w:val="32"/>
        </w:rPr>
        <w:t>一、总体情况</w:t>
      </w:r>
    </w:p>
    <w:p>
      <w:pPr>
        <w:widowControl/>
        <w:shd w:val="clear" w:color="auto" w:fill="auto"/>
        <w:spacing w:before="0" w:beforeAutospacing="0" w:after="0" w:afterAutospacing="0" w:line="560" w:lineRule="exact"/>
        <w:ind w:firstLine="640" w:firstLineChars="200"/>
        <w:jc w:val="both"/>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202</w:t>
      </w:r>
      <w:r>
        <w:rPr>
          <w:rFonts w:hint="eastAsia" w:ascii="仿宋_GB2312" w:hAnsi="仿宋_GB2312" w:eastAsia="仿宋_GB2312" w:cs="仿宋_GB2312"/>
          <w:bCs/>
          <w:color w:val="000000"/>
          <w:sz w:val="32"/>
          <w:szCs w:val="32"/>
          <w:lang w:val="en-US"/>
        </w:rPr>
        <w:t>3</w:t>
      </w:r>
      <w:r>
        <w:rPr>
          <w:rFonts w:hint="eastAsia" w:ascii="仿宋_GB2312" w:hAnsi="仿宋_GB2312" w:eastAsia="仿宋_GB2312" w:cs="仿宋_GB2312"/>
          <w:bCs/>
          <w:color w:val="000000"/>
          <w:sz w:val="32"/>
          <w:szCs w:val="32"/>
        </w:rPr>
        <w:t>年，石嘴山市气象局坚持以习近平新时代中国特色社会主义思想为指导，深入学习贯彻党的</w:t>
      </w:r>
      <w:r>
        <w:rPr>
          <w:rFonts w:hint="eastAsia" w:ascii="仿宋_GB2312" w:hAnsi="仿宋_GB2312" w:eastAsia="仿宋_GB2312" w:cs="仿宋_GB2312"/>
          <w:bCs/>
          <w:color w:val="000000"/>
          <w:sz w:val="32"/>
          <w:szCs w:val="32"/>
          <w:lang w:eastAsia="zh-CN"/>
        </w:rPr>
        <w:t>二十</w:t>
      </w:r>
      <w:r>
        <w:rPr>
          <w:rFonts w:hint="eastAsia" w:ascii="仿宋_GB2312" w:hAnsi="仿宋_GB2312" w:eastAsia="仿宋_GB2312" w:cs="仿宋_GB2312"/>
          <w:bCs/>
          <w:color w:val="000000"/>
          <w:sz w:val="32"/>
          <w:szCs w:val="32"/>
        </w:rPr>
        <w:t>大精神，认真学习贯彻习近平总书记</w:t>
      </w:r>
      <w:r>
        <w:rPr>
          <w:rFonts w:hint="eastAsia" w:ascii="仿宋_GB2312" w:hAnsi="仿宋_GB2312" w:eastAsia="仿宋_GB2312" w:cs="仿宋_GB2312"/>
          <w:bCs/>
          <w:color w:val="000000"/>
          <w:sz w:val="32"/>
          <w:szCs w:val="32"/>
          <w:lang w:val="en-US" w:eastAsia="zh-CN"/>
        </w:rPr>
        <w:t>关于</w:t>
      </w:r>
      <w:r>
        <w:rPr>
          <w:rFonts w:hint="eastAsia" w:ascii="仿宋_GB2312" w:hAnsi="仿宋_GB2312" w:eastAsia="仿宋_GB2312" w:cs="仿宋_GB2312"/>
          <w:bCs/>
          <w:color w:val="000000"/>
          <w:sz w:val="32"/>
          <w:szCs w:val="32"/>
        </w:rPr>
        <w:t>气象工作重要指示和视察宁夏重要讲话精神，贯彻落实《中华人民共和国政府信息公开条例</w:t>
      </w:r>
      <w:r>
        <w:rPr>
          <w:rFonts w:hint="eastAsia" w:ascii="仿宋_GB2312" w:hAnsi="仿宋_GB2312" w:eastAsia="仿宋_GB2312" w:cs="仿宋_GB2312"/>
          <w:bCs w:val="0"/>
          <w:color w:val="auto"/>
          <w:sz w:val="32"/>
          <w:szCs w:val="32"/>
        </w:rPr>
        <w:t>》《</w:t>
      </w:r>
      <w:r>
        <w:rPr>
          <w:rFonts w:hint="eastAsia" w:ascii="仿宋_GB2312" w:hAnsi="仿宋_GB2312" w:eastAsia="仿宋_GB2312" w:cs="仿宋_GB2312"/>
          <w:bCs/>
          <w:color w:val="000000"/>
          <w:sz w:val="32"/>
          <w:szCs w:val="32"/>
        </w:rPr>
        <w:t>气象部门政府信息公开办法》，严格按照中国气象局、宁夏气象局、石嘴山市委</w:t>
      </w:r>
      <w:r>
        <w:rPr>
          <w:rFonts w:hint="eastAsia" w:ascii="仿宋_GB2312" w:hAnsi="仿宋_GB2312" w:eastAsia="仿宋_GB2312" w:cs="仿宋_GB2312"/>
          <w:bCs/>
          <w:color w:val="000000"/>
          <w:sz w:val="32"/>
          <w:szCs w:val="32"/>
          <w:lang w:eastAsia="zh-CN"/>
        </w:rPr>
        <w:t>市</w:t>
      </w:r>
      <w:r>
        <w:rPr>
          <w:rFonts w:hint="eastAsia" w:ascii="仿宋_GB2312" w:hAnsi="仿宋_GB2312" w:eastAsia="仿宋_GB2312" w:cs="仿宋_GB2312"/>
          <w:bCs/>
          <w:color w:val="000000"/>
          <w:sz w:val="32"/>
          <w:szCs w:val="32"/>
        </w:rPr>
        <w:t>政府关于全面推进政务公开的部署要求，围绕气象部门工作及公众关切问题，坚持以“公开为常态，不公开为例外，遵循公正、公平、合法、便民”的原则，及时、准确地公开政府信息，</w:t>
      </w:r>
      <w:r>
        <w:rPr>
          <w:rFonts w:hint="eastAsia" w:ascii="仿宋_GB2312" w:hAnsi="仿宋_GB2312" w:eastAsia="仿宋_GB2312" w:cs="仿宋_GB2312"/>
          <w:bCs w:val="0"/>
          <w:color w:val="auto"/>
          <w:sz w:val="32"/>
          <w:szCs w:val="32"/>
        </w:rPr>
        <w:t>不断</w:t>
      </w:r>
      <w:r>
        <w:rPr>
          <w:rFonts w:hint="eastAsia" w:ascii="仿宋_GB2312" w:hAnsi="仿宋_GB2312" w:eastAsia="仿宋_GB2312" w:cs="仿宋_GB2312"/>
          <w:bCs/>
          <w:color w:val="000000"/>
          <w:sz w:val="32"/>
          <w:szCs w:val="32"/>
        </w:rPr>
        <w:t>加大</w:t>
      </w:r>
      <w:r>
        <w:rPr>
          <w:rFonts w:hint="eastAsia" w:ascii="仿宋_GB2312" w:hAnsi="仿宋_GB2312" w:eastAsia="仿宋_GB2312" w:cs="仿宋_GB2312"/>
          <w:bCs w:val="0"/>
          <w:color w:val="auto"/>
          <w:sz w:val="32"/>
          <w:szCs w:val="32"/>
        </w:rPr>
        <w:t>政府</w:t>
      </w:r>
      <w:r>
        <w:rPr>
          <w:rFonts w:hint="eastAsia" w:ascii="仿宋_GB2312" w:hAnsi="仿宋_GB2312" w:eastAsia="仿宋_GB2312" w:cs="仿宋_GB2312"/>
          <w:bCs/>
          <w:color w:val="000000"/>
          <w:sz w:val="32"/>
          <w:szCs w:val="32"/>
        </w:rPr>
        <w:t>信息公开工作力度，政府信息管理和服务水平稳步提升。</w:t>
      </w:r>
    </w:p>
    <w:p>
      <w:pPr>
        <w:keepNext w:val="0"/>
        <w:keepLines w:val="0"/>
        <w:pageBreakBefore w:val="0"/>
        <w:kinsoku/>
        <w:wordWrap/>
        <w:overflowPunct/>
        <w:topLinePunct w:val="0"/>
        <w:autoSpaceDE/>
        <w:autoSpaceDN/>
        <w:bidi w:val="0"/>
        <w:adjustRightInd/>
        <w:snapToGrid/>
        <w:spacing w:line="560" w:lineRule="exact"/>
        <w:ind w:firstLine="640" w:firstLineChars="200"/>
        <w:jc w:val="both"/>
        <w:rPr>
          <w:rFonts w:hint="eastAsia" w:ascii="楷体" w:hAnsi="楷体" w:eastAsia="楷体" w:cs="楷体"/>
          <w:b w:val="0"/>
          <w:bCs w:val="0"/>
          <w:color w:val="000000"/>
          <w:sz w:val="32"/>
          <w:szCs w:val="32"/>
        </w:rPr>
      </w:pPr>
      <w:r>
        <w:rPr>
          <w:rFonts w:hint="eastAsia" w:ascii="楷体" w:hAnsi="楷体" w:eastAsia="楷体" w:cs="楷体"/>
          <w:b w:val="0"/>
          <w:bCs w:val="0"/>
          <w:color w:val="000000"/>
          <w:sz w:val="32"/>
          <w:szCs w:val="32"/>
        </w:rPr>
        <w:t>（一）主动公开情况</w:t>
      </w:r>
    </w:p>
    <w:p>
      <w:pPr>
        <w:keepNext w:val="0"/>
        <w:keepLines w:val="0"/>
        <w:pageBreakBefore w:val="0"/>
        <w:widowControl/>
        <w:shd w:val="clear" w:color="auto" w:fill="auto"/>
        <w:kinsoku/>
        <w:wordWrap/>
        <w:overflowPunct/>
        <w:topLinePunct w:val="0"/>
        <w:autoSpaceDE/>
        <w:autoSpaceDN/>
        <w:bidi w:val="0"/>
        <w:adjustRightInd/>
        <w:snapToGrid/>
        <w:spacing w:line="560" w:lineRule="exact"/>
        <w:ind w:firstLine="640" w:firstLineChars="200"/>
        <w:jc w:val="both"/>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202</w:t>
      </w:r>
      <w:r>
        <w:rPr>
          <w:rFonts w:hint="eastAsia" w:ascii="仿宋_GB2312" w:hAnsi="仿宋_GB2312" w:eastAsia="仿宋_GB2312" w:cs="仿宋_GB2312"/>
          <w:bCs/>
          <w:color w:val="000000"/>
          <w:sz w:val="32"/>
          <w:szCs w:val="32"/>
          <w:lang w:val="en-US"/>
        </w:rPr>
        <w:t>3</w:t>
      </w:r>
      <w:r>
        <w:rPr>
          <w:rFonts w:hint="eastAsia" w:ascii="仿宋_GB2312" w:hAnsi="仿宋_GB2312" w:eastAsia="仿宋_GB2312" w:cs="仿宋_GB2312"/>
          <w:bCs/>
          <w:color w:val="000000"/>
          <w:sz w:val="32"/>
          <w:szCs w:val="32"/>
        </w:rPr>
        <w:t>年，石嘴山市气象局通过宁夏气象局政府网站公开了机关职能、机构设置、联系方式、部门领导等信息；通过宁夏政务服务网、微信公众号“石嘴山气象”等途径公开政府信息</w:t>
      </w:r>
      <w:r>
        <w:rPr>
          <w:rFonts w:hint="eastAsia" w:ascii="仿宋_GB2312" w:hAnsi="仿宋_GB2312" w:eastAsia="仿宋_GB2312" w:cs="仿宋_GB2312"/>
          <w:bCs/>
          <w:color w:val="000000"/>
          <w:sz w:val="32"/>
          <w:szCs w:val="32"/>
          <w:lang w:val="en-US" w:eastAsia="zh-CN"/>
        </w:rPr>
        <w:t>239</w:t>
      </w:r>
      <w:r>
        <w:rPr>
          <w:rFonts w:hint="eastAsia" w:ascii="仿宋_GB2312" w:hAnsi="仿宋_GB2312" w:eastAsia="仿宋_GB2312" w:cs="仿宋_GB2312"/>
          <w:bCs/>
          <w:color w:val="000000"/>
          <w:sz w:val="32"/>
          <w:szCs w:val="32"/>
        </w:rPr>
        <w:t>条。其中，行政审批</w:t>
      </w:r>
      <w:r>
        <w:rPr>
          <w:rFonts w:hint="eastAsia" w:ascii="仿宋_GB2312" w:hAnsi="仿宋_GB2312" w:eastAsia="仿宋_GB2312" w:cs="仿宋_GB2312"/>
          <w:bCs/>
          <w:color w:val="000000"/>
          <w:sz w:val="32"/>
          <w:szCs w:val="32"/>
          <w:lang w:val="en-US" w:eastAsia="zh-CN"/>
        </w:rPr>
        <w:t>26</w:t>
      </w:r>
      <w:r>
        <w:rPr>
          <w:rFonts w:hint="eastAsia" w:ascii="仿宋_GB2312" w:hAnsi="仿宋_GB2312" w:eastAsia="仿宋_GB2312" w:cs="仿宋_GB2312"/>
          <w:bCs/>
          <w:color w:val="000000"/>
          <w:sz w:val="32"/>
          <w:szCs w:val="32"/>
        </w:rPr>
        <w:t>条，石嘴山市气象局本级发布预警信息</w:t>
      </w:r>
      <w:r>
        <w:rPr>
          <w:rFonts w:hint="eastAsia" w:ascii="仿宋_GB2312" w:hAnsi="仿宋_GB2312" w:eastAsia="仿宋_GB2312" w:cs="仿宋_GB2312"/>
          <w:bCs/>
          <w:color w:val="000000"/>
          <w:sz w:val="32"/>
          <w:szCs w:val="32"/>
          <w:lang w:val="en-US" w:eastAsia="zh-CN"/>
        </w:rPr>
        <w:t>213</w:t>
      </w:r>
      <w:r>
        <w:rPr>
          <w:rFonts w:hint="eastAsia" w:ascii="仿宋_GB2312" w:hAnsi="仿宋_GB2312" w:eastAsia="仿宋_GB2312" w:cs="仿宋_GB2312"/>
          <w:bCs/>
          <w:color w:val="000000"/>
          <w:sz w:val="32"/>
          <w:szCs w:val="32"/>
        </w:rPr>
        <w:t>条。</w:t>
      </w:r>
    </w:p>
    <w:p>
      <w:pPr>
        <w:keepNext w:val="0"/>
        <w:keepLines w:val="0"/>
        <w:pageBreakBefore w:val="0"/>
        <w:kinsoku/>
        <w:wordWrap/>
        <w:overflowPunct/>
        <w:topLinePunct w:val="0"/>
        <w:autoSpaceDE/>
        <w:autoSpaceDN/>
        <w:bidi w:val="0"/>
        <w:adjustRightInd/>
        <w:snapToGrid/>
        <w:spacing w:line="560" w:lineRule="exact"/>
        <w:ind w:firstLine="640" w:firstLineChars="200"/>
        <w:jc w:val="both"/>
        <w:rPr>
          <w:rFonts w:hint="eastAsia" w:ascii="楷体" w:hAnsi="楷体" w:eastAsia="楷体" w:cs="楷体"/>
          <w:b w:val="0"/>
          <w:bCs w:val="0"/>
          <w:color w:val="000000"/>
          <w:sz w:val="32"/>
          <w:szCs w:val="32"/>
        </w:rPr>
      </w:pPr>
      <w:r>
        <w:rPr>
          <w:rFonts w:hint="eastAsia" w:ascii="楷体" w:hAnsi="楷体" w:eastAsia="楷体" w:cs="楷体"/>
          <w:b w:val="0"/>
          <w:bCs w:val="0"/>
          <w:color w:val="000000"/>
          <w:sz w:val="32"/>
          <w:szCs w:val="32"/>
        </w:rPr>
        <w:t>（二）依申请公开情况</w:t>
      </w:r>
    </w:p>
    <w:p>
      <w:pPr>
        <w:keepNext w:val="0"/>
        <w:keepLines w:val="0"/>
        <w:pageBreakBefore w:val="0"/>
        <w:widowControl/>
        <w:shd w:val="clear" w:color="auto" w:fill="auto"/>
        <w:kinsoku/>
        <w:wordWrap/>
        <w:overflowPunct/>
        <w:topLinePunct w:val="0"/>
        <w:autoSpaceDE/>
        <w:autoSpaceDN/>
        <w:bidi w:val="0"/>
        <w:adjustRightInd/>
        <w:snapToGrid/>
        <w:spacing w:line="560" w:lineRule="exact"/>
        <w:ind w:firstLine="640" w:firstLineChars="200"/>
        <w:jc w:val="both"/>
        <w:rPr>
          <w:rFonts w:hint="eastAsia" w:ascii="仿宋_GB2312" w:hAnsi="仿宋_GB2312" w:eastAsia="仿宋_GB2312" w:cs="仿宋_GB2312"/>
          <w:bCs/>
          <w:color w:val="000000"/>
          <w:kern w:val="2"/>
          <w:sz w:val="32"/>
          <w:szCs w:val="32"/>
        </w:rPr>
      </w:pPr>
      <w:r>
        <w:rPr>
          <w:rFonts w:hint="eastAsia" w:ascii="仿宋_GB2312" w:hAnsi="仿宋_GB2312" w:eastAsia="仿宋_GB2312" w:cs="仿宋_GB2312"/>
          <w:bCs/>
          <w:color w:val="000000"/>
          <w:sz w:val="32"/>
          <w:szCs w:val="32"/>
        </w:rPr>
        <w:t>202</w:t>
      </w:r>
      <w:r>
        <w:rPr>
          <w:rFonts w:hint="eastAsia" w:ascii="仿宋_GB2312" w:hAnsi="仿宋_GB2312" w:eastAsia="仿宋_GB2312" w:cs="仿宋_GB2312"/>
          <w:bCs/>
          <w:color w:val="000000"/>
          <w:sz w:val="32"/>
          <w:szCs w:val="32"/>
          <w:lang w:val="en-US"/>
        </w:rPr>
        <w:t>3</w:t>
      </w:r>
      <w:r>
        <w:rPr>
          <w:rFonts w:hint="eastAsia" w:ascii="仿宋_GB2312" w:hAnsi="仿宋_GB2312" w:eastAsia="仿宋_GB2312" w:cs="仿宋_GB2312"/>
          <w:bCs/>
          <w:color w:val="000000"/>
          <w:sz w:val="32"/>
          <w:szCs w:val="32"/>
        </w:rPr>
        <w:t>年石嘴山市气象局受理</w:t>
      </w:r>
      <w:r>
        <w:rPr>
          <w:rFonts w:hint="eastAsia" w:ascii="仿宋_GB2312" w:hAnsi="仿宋_GB2312" w:eastAsia="仿宋_GB2312" w:cs="仿宋_GB2312"/>
          <w:bCs/>
          <w:color w:val="000000"/>
          <w:kern w:val="2"/>
          <w:sz w:val="32"/>
          <w:szCs w:val="32"/>
        </w:rPr>
        <w:t>行政许可事项</w:t>
      </w:r>
      <w:r>
        <w:rPr>
          <w:rFonts w:hint="eastAsia" w:ascii="仿宋_GB2312" w:hAnsi="仿宋_GB2312" w:eastAsia="仿宋_GB2312" w:cs="仿宋_GB2312"/>
          <w:bCs/>
          <w:color w:val="000000"/>
          <w:sz w:val="32"/>
          <w:szCs w:val="32"/>
          <w:lang w:val="en-US" w:eastAsia="zh-CN"/>
        </w:rPr>
        <w:t>26</w:t>
      </w:r>
      <w:r>
        <w:rPr>
          <w:rFonts w:hint="eastAsia" w:ascii="仿宋_GB2312" w:hAnsi="仿宋_GB2312" w:eastAsia="仿宋_GB2312" w:cs="仿宋_GB2312"/>
          <w:bCs/>
          <w:color w:val="000000"/>
          <w:sz w:val="32"/>
          <w:szCs w:val="32"/>
        </w:rPr>
        <w:t>件，</w:t>
      </w:r>
      <w:r>
        <w:rPr>
          <w:rFonts w:hint="eastAsia" w:ascii="仿宋_GB2312" w:hAnsi="仿宋_GB2312" w:eastAsia="仿宋_GB2312" w:cs="仿宋_GB2312"/>
          <w:bCs/>
          <w:color w:val="000000"/>
          <w:sz w:val="32"/>
          <w:szCs w:val="32"/>
          <w:lang w:eastAsia="zh-CN"/>
        </w:rPr>
        <w:t>其中市本级</w:t>
      </w:r>
      <w:r>
        <w:rPr>
          <w:rFonts w:hint="eastAsia" w:ascii="仿宋_GB2312" w:hAnsi="仿宋_GB2312" w:eastAsia="仿宋_GB2312" w:cs="仿宋_GB2312"/>
          <w:bCs/>
          <w:color w:val="000000"/>
          <w:sz w:val="32"/>
          <w:szCs w:val="32"/>
          <w:lang w:val="en-US" w:eastAsia="zh-CN"/>
        </w:rPr>
        <w:t>9件，</w:t>
      </w:r>
      <w:r>
        <w:rPr>
          <w:rFonts w:hint="eastAsia" w:ascii="仿宋_GB2312" w:hAnsi="仿宋_GB2312" w:eastAsia="仿宋_GB2312" w:cs="仿宋_GB2312"/>
          <w:bCs/>
          <w:color w:val="000000"/>
          <w:sz w:val="32"/>
          <w:szCs w:val="32"/>
          <w:lang w:eastAsia="zh-CN"/>
        </w:rPr>
        <w:t>县局</w:t>
      </w:r>
      <w:r>
        <w:rPr>
          <w:rFonts w:hint="eastAsia" w:ascii="仿宋_GB2312" w:hAnsi="仿宋_GB2312" w:eastAsia="仿宋_GB2312" w:cs="仿宋_GB2312"/>
          <w:bCs/>
          <w:color w:val="000000"/>
          <w:sz w:val="32"/>
          <w:szCs w:val="32"/>
          <w:lang w:val="en-US" w:eastAsia="zh-CN"/>
        </w:rPr>
        <w:t>17件，</w:t>
      </w:r>
      <w:r>
        <w:rPr>
          <w:rFonts w:hint="eastAsia" w:ascii="仿宋_GB2312" w:hAnsi="仿宋_GB2312" w:eastAsia="仿宋_GB2312" w:cs="仿宋_GB2312"/>
          <w:bCs/>
          <w:color w:val="000000"/>
          <w:kern w:val="2"/>
          <w:sz w:val="32"/>
          <w:szCs w:val="32"/>
        </w:rPr>
        <w:t>按时办结</w:t>
      </w:r>
      <w:r>
        <w:rPr>
          <w:rFonts w:hint="eastAsia" w:ascii="仿宋_GB2312" w:hAnsi="仿宋_GB2312" w:eastAsia="仿宋_GB2312" w:cs="仿宋_GB2312"/>
          <w:bCs/>
          <w:color w:val="000000"/>
          <w:kern w:val="2"/>
          <w:sz w:val="32"/>
          <w:szCs w:val="32"/>
          <w:lang w:val="en-US" w:eastAsia="zh-CN"/>
        </w:rPr>
        <w:t>26</w:t>
      </w:r>
      <w:r>
        <w:rPr>
          <w:rFonts w:hint="eastAsia" w:ascii="仿宋_GB2312" w:hAnsi="仿宋_GB2312" w:eastAsia="仿宋_GB2312" w:cs="仿宋_GB2312"/>
          <w:bCs/>
          <w:color w:val="000000"/>
          <w:kern w:val="2"/>
          <w:sz w:val="32"/>
          <w:szCs w:val="32"/>
        </w:rPr>
        <w:t>件，全部实行网上办理，“不见面”办理率100%。行政许可的事项、依据、条件、流程等材料全部在中国气象局行政审批平台、宁夏政务服务平台及自治区投资项目在线审批平台上公开</w:t>
      </w:r>
      <w:r>
        <w:rPr>
          <w:rFonts w:hint="eastAsia" w:ascii="仿宋_GB2312" w:hAnsi="仿宋_GB2312" w:eastAsia="仿宋_GB2312" w:cs="仿宋_GB2312"/>
          <w:bCs/>
          <w:color w:val="000000"/>
          <w:kern w:val="2"/>
          <w:sz w:val="32"/>
          <w:szCs w:val="32"/>
          <w:lang w:eastAsia="zh-CN"/>
        </w:rPr>
        <w:t>，</w:t>
      </w:r>
      <w:r>
        <w:rPr>
          <w:rFonts w:hint="eastAsia" w:ascii="仿宋_GB2312" w:hAnsi="仿宋_GB2312" w:eastAsia="仿宋_GB2312" w:cs="仿宋_GB2312"/>
          <w:bCs/>
          <w:color w:val="000000"/>
          <w:kern w:val="2"/>
          <w:sz w:val="32"/>
          <w:szCs w:val="32"/>
        </w:rPr>
        <w:t>同时对所有办结事项及时通过石嘴山市政府数据开放平台和国家企业信用信息公示系统向社会公示。</w:t>
      </w:r>
    </w:p>
    <w:p>
      <w:pPr>
        <w:keepNext w:val="0"/>
        <w:keepLines w:val="0"/>
        <w:pageBreakBefore w:val="0"/>
        <w:kinsoku/>
        <w:wordWrap/>
        <w:overflowPunct/>
        <w:topLinePunct w:val="0"/>
        <w:autoSpaceDE/>
        <w:autoSpaceDN/>
        <w:bidi w:val="0"/>
        <w:adjustRightInd/>
        <w:snapToGrid/>
        <w:spacing w:line="560" w:lineRule="exact"/>
        <w:ind w:firstLine="640" w:firstLineChars="200"/>
        <w:jc w:val="both"/>
        <w:rPr>
          <w:rFonts w:hint="eastAsia" w:ascii="楷体" w:hAnsi="楷体" w:eastAsia="楷体" w:cs="楷体"/>
          <w:b w:val="0"/>
          <w:bCs w:val="0"/>
          <w:color w:val="000000"/>
          <w:sz w:val="32"/>
          <w:szCs w:val="32"/>
        </w:rPr>
      </w:pPr>
      <w:r>
        <w:rPr>
          <w:rFonts w:hint="eastAsia" w:ascii="楷体" w:hAnsi="楷体" w:eastAsia="楷体" w:cs="楷体"/>
          <w:b w:val="0"/>
          <w:bCs w:val="0"/>
          <w:color w:val="000000"/>
          <w:sz w:val="32"/>
          <w:szCs w:val="32"/>
        </w:rPr>
        <w:t>（三）政府信息管理情况</w:t>
      </w:r>
    </w:p>
    <w:p>
      <w:pPr>
        <w:keepNext w:val="0"/>
        <w:keepLines w:val="0"/>
        <w:pageBreakBefore w:val="0"/>
        <w:widowControl/>
        <w:shd w:val="clear" w:color="auto" w:fill="auto"/>
        <w:kinsoku/>
        <w:wordWrap/>
        <w:overflowPunct/>
        <w:topLinePunct w:val="0"/>
        <w:autoSpaceDE/>
        <w:autoSpaceDN/>
        <w:bidi w:val="0"/>
        <w:adjustRightInd/>
        <w:snapToGrid/>
        <w:spacing w:line="560" w:lineRule="exact"/>
        <w:ind w:firstLine="640" w:firstLineChars="200"/>
        <w:jc w:val="both"/>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石嘴山市气象局政府信息主要通过行政审批网上在线平台、微信公众号“石嘴山气象”等方式进行公开。按照“谁主管谁公开、谁公开谁审查、谁审查谁负责和先审查后公开”的原则，把好政治关、文字关、保密关，加强政府信息公开的审核和保密性审查。</w:t>
      </w:r>
    </w:p>
    <w:p>
      <w:pPr>
        <w:keepNext w:val="0"/>
        <w:keepLines w:val="0"/>
        <w:pageBreakBefore w:val="0"/>
        <w:kinsoku/>
        <w:wordWrap/>
        <w:overflowPunct/>
        <w:topLinePunct w:val="0"/>
        <w:autoSpaceDE/>
        <w:autoSpaceDN/>
        <w:bidi w:val="0"/>
        <w:adjustRightInd/>
        <w:snapToGrid/>
        <w:spacing w:line="560" w:lineRule="exact"/>
        <w:ind w:firstLine="640" w:firstLineChars="200"/>
        <w:jc w:val="both"/>
        <w:rPr>
          <w:rFonts w:hint="eastAsia" w:ascii="楷体" w:hAnsi="楷体" w:eastAsia="楷体" w:cs="楷体"/>
          <w:b w:val="0"/>
          <w:bCs w:val="0"/>
          <w:color w:val="000000"/>
          <w:sz w:val="32"/>
          <w:szCs w:val="32"/>
        </w:rPr>
      </w:pPr>
      <w:r>
        <w:rPr>
          <w:rFonts w:hint="eastAsia" w:ascii="楷体" w:hAnsi="楷体" w:eastAsia="楷体" w:cs="楷体"/>
          <w:b w:val="0"/>
          <w:bCs w:val="0"/>
          <w:color w:val="000000"/>
          <w:sz w:val="32"/>
          <w:szCs w:val="32"/>
        </w:rPr>
        <w:t>（四）监督保障情况</w:t>
      </w:r>
    </w:p>
    <w:p>
      <w:pPr>
        <w:keepNext w:val="0"/>
        <w:keepLines w:val="0"/>
        <w:pageBreakBefore w:val="0"/>
        <w:widowControl/>
        <w:shd w:val="clear" w:color="auto" w:fill="auto"/>
        <w:kinsoku/>
        <w:wordWrap/>
        <w:overflowPunct/>
        <w:topLinePunct w:val="0"/>
        <w:autoSpaceDE/>
        <w:autoSpaceDN/>
        <w:bidi w:val="0"/>
        <w:adjustRightInd/>
        <w:snapToGrid/>
        <w:spacing w:before="0" w:beforeAutospacing="0" w:after="0" w:afterAutospacing="0" w:line="560" w:lineRule="exact"/>
        <w:ind w:firstLine="640" w:firstLineChars="200"/>
        <w:jc w:val="both"/>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kern w:val="2"/>
          <w:sz w:val="32"/>
          <w:szCs w:val="32"/>
        </w:rPr>
        <w:t>一是加强内部监督。结合《气象部门政府信息公开办法》及宁夏气象局有关政府信息公开要求，石嘴山市气象局强化组织管理及制度建设，加强对市局微信公众号“石嘴山气象”主动公开预警信息的情况监督，确保信息公开及时。二是回应社会关切热点问题。针对202</w:t>
      </w:r>
      <w:r>
        <w:rPr>
          <w:rFonts w:hint="eastAsia" w:ascii="仿宋_GB2312" w:hAnsi="仿宋_GB2312" w:eastAsia="仿宋_GB2312" w:cs="仿宋_GB2312"/>
          <w:bCs/>
          <w:color w:val="000000"/>
          <w:kern w:val="2"/>
          <w:sz w:val="32"/>
          <w:szCs w:val="32"/>
          <w:lang w:val="en-US"/>
        </w:rPr>
        <w:t>3</w:t>
      </w:r>
      <w:r>
        <w:rPr>
          <w:rFonts w:hint="eastAsia" w:ascii="仿宋_GB2312" w:hAnsi="仿宋_GB2312" w:eastAsia="仿宋_GB2312" w:cs="仿宋_GB2312"/>
          <w:bCs/>
          <w:color w:val="000000"/>
          <w:kern w:val="2"/>
          <w:sz w:val="32"/>
          <w:szCs w:val="32"/>
        </w:rPr>
        <w:t>年社会关注的</w:t>
      </w:r>
      <w:r>
        <w:rPr>
          <w:rFonts w:hint="eastAsia" w:ascii="仿宋_GB2312" w:hAnsi="仿宋_GB2312" w:eastAsia="仿宋_GB2312" w:cs="仿宋_GB2312"/>
          <w:bCs/>
          <w:color w:val="000000"/>
          <w:sz w:val="32"/>
          <w:szCs w:val="32"/>
        </w:rPr>
        <w:t>“降</w:t>
      </w:r>
      <w:r>
        <w:rPr>
          <w:rFonts w:hint="eastAsia" w:ascii="仿宋_GB2312" w:hAnsi="仿宋_GB2312" w:eastAsia="仿宋_GB2312" w:cs="仿宋_GB2312"/>
          <w:bCs/>
          <w:color w:val="000000"/>
          <w:sz w:val="32"/>
          <w:szCs w:val="32"/>
          <w:lang w:eastAsia="zh-CN"/>
        </w:rPr>
        <w:t>雨</w:t>
      </w: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bCs/>
          <w:color w:val="000000"/>
          <w:sz w:val="32"/>
          <w:szCs w:val="32"/>
        </w:rPr>
        <w:t>“降雪”天气等热点问题，通过广播电台和交通音乐台等解答群众疑问，回应关切问题。</w:t>
      </w:r>
    </w:p>
    <w:p>
      <w:pPr>
        <w:keepNext w:val="0"/>
        <w:keepLines w:val="0"/>
        <w:pageBreakBefore w:val="0"/>
        <w:widowControl/>
        <w:shd w:val="clear" w:color="auto" w:fill="auto"/>
        <w:kinsoku/>
        <w:wordWrap/>
        <w:overflowPunct/>
        <w:topLinePunct w:val="0"/>
        <w:autoSpaceDE/>
        <w:autoSpaceDN/>
        <w:bidi w:val="0"/>
        <w:adjustRightInd/>
        <w:snapToGrid/>
        <w:spacing w:line="560" w:lineRule="exact"/>
        <w:ind w:firstLine="640" w:firstLineChars="200"/>
        <w:jc w:val="both"/>
        <w:rPr>
          <w:rFonts w:hint="eastAsia" w:ascii="黑体" w:hAnsi="黑体" w:eastAsia="黑体" w:cs="黑体"/>
          <w:b w:val="0"/>
          <w:bCs w:val="0"/>
          <w:color w:val="auto"/>
          <w:kern w:val="2"/>
          <w:sz w:val="32"/>
          <w:szCs w:val="32"/>
        </w:rPr>
      </w:pPr>
      <w:r>
        <w:rPr>
          <w:rFonts w:hint="eastAsia" w:ascii="黑体" w:hAnsi="黑体" w:eastAsia="黑体" w:cs="黑体"/>
          <w:b w:val="0"/>
          <w:bCs w:val="0"/>
          <w:color w:val="auto"/>
          <w:kern w:val="2"/>
          <w:sz w:val="32"/>
          <w:szCs w:val="32"/>
        </w:rPr>
        <w:t>二、主动公开政府信息情况</w:t>
      </w:r>
    </w:p>
    <w:tbl>
      <w:tblPr>
        <w:tblStyle w:val="7"/>
        <w:tblW w:w="9740" w:type="dxa"/>
        <w:jc w:val="center"/>
        <w:tblLayout w:type="autofit"/>
        <w:tblCellMar>
          <w:top w:w="0" w:type="dxa"/>
          <w:left w:w="0" w:type="dxa"/>
          <w:bottom w:w="0" w:type="dxa"/>
          <w:right w:w="0" w:type="dxa"/>
        </w:tblCellMar>
      </w:tblPr>
      <w:tblGrid>
        <w:gridCol w:w="2435"/>
        <w:gridCol w:w="2435"/>
        <w:gridCol w:w="2435"/>
        <w:gridCol w:w="2435"/>
      </w:tblGrid>
      <w:tr>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00" w:firstLineChars="200"/>
              <w:jc w:val="both"/>
              <w:rPr>
                <w:rFonts w:ascii="宋体" w:hAnsi="宋体" w:eastAsia="宋体" w:cs="宋体"/>
                <w:kern w:val="0"/>
                <w:sz w:val="24"/>
                <w:szCs w:val="24"/>
              </w:rPr>
            </w:pPr>
            <w:r>
              <w:rPr>
                <w:rFonts w:hint="eastAsia" w:ascii="宋体" w:hAnsi="宋体" w:eastAsia="宋体" w:cs="宋体"/>
                <w:color w:val="000000"/>
                <w:kern w:val="0"/>
                <w:sz w:val="20"/>
                <w:szCs w:val="20"/>
              </w:rPr>
              <w:t>第二十条第（一）项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00" w:firstLineChars="200"/>
              <w:jc w:val="both"/>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00" w:firstLineChars="200"/>
              <w:jc w:val="both"/>
              <w:rPr>
                <w:rFonts w:ascii="宋体" w:hAnsi="宋体" w:eastAsia="宋体" w:cs="宋体"/>
                <w:kern w:val="0"/>
                <w:sz w:val="24"/>
                <w:szCs w:val="24"/>
              </w:rPr>
            </w:pPr>
            <w:r>
              <w:rPr>
                <w:rFonts w:hint="eastAsia" w:ascii="宋体" w:hAnsi="宋体" w:eastAsia="宋体" w:cs="宋体"/>
                <w:color w:val="000000"/>
                <w:kern w:val="0"/>
                <w:sz w:val="20"/>
                <w:szCs w:val="20"/>
              </w:rPr>
              <w:t>本年</w:t>
            </w:r>
            <w:r>
              <w:rPr>
                <w:rFonts w:ascii="宋体" w:hAnsi="宋体" w:eastAsia="宋体" w:cs="宋体"/>
                <w:kern w:val="0"/>
                <w:sz w:val="20"/>
                <w:szCs w:val="20"/>
              </w:rPr>
              <w:t>制</w:t>
            </w:r>
            <w:r>
              <w:rPr>
                <w:rFonts w:hint="eastAsia" w:ascii="宋体" w:hAnsi="宋体" w:eastAsia="宋体" w:cs="宋体"/>
                <w:kern w:val="0"/>
                <w:sz w:val="20"/>
                <w:szCs w:val="20"/>
              </w:rPr>
              <w:t>发件</w:t>
            </w:r>
            <w:r>
              <w:rPr>
                <w:rFonts w:ascii="宋体" w:hAnsi="宋体" w:eastAsia="宋体" w:cs="宋体"/>
                <w:kern w:val="0"/>
                <w:sz w:val="20"/>
                <w:szCs w:val="20"/>
              </w:rPr>
              <w:t>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00" w:firstLineChars="200"/>
              <w:jc w:val="both"/>
              <w:rPr>
                <w:rFonts w:ascii="宋体" w:hAnsi="宋体" w:eastAsia="宋体" w:cs="宋体"/>
                <w:kern w:val="0"/>
                <w:sz w:val="24"/>
                <w:szCs w:val="24"/>
              </w:rPr>
            </w:pPr>
            <w:r>
              <w:rPr>
                <w:rFonts w:hint="eastAsia" w:ascii="宋体" w:hAnsi="宋体" w:eastAsia="宋体" w:cs="宋体"/>
                <w:color w:val="000000"/>
                <w:kern w:val="0"/>
                <w:sz w:val="20"/>
                <w:szCs w:val="20"/>
              </w:rPr>
              <w:t>本年废止件数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00" w:firstLineChars="200"/>
              <w:jc w:val="both"/>
              <w:rPr>
                <w:rFonts w:ascii="宋体" w:hAnsi="宋体" w:eastAsia="宋体" w:cs="宋体"/>
                <w:kern w:val="0"/>
                <w:sz w:val="24"/>
                <w:szCs w:val="24"/>
              </w:rPr>
            </w:pPr>
            <w:r>
              <w:rPr>
                <w:rFonts w:hint="eastAsia" w:ascii="宋体" w:hAnsi="宋体" w:eastAsia="宋体" w:cs="宋体"/>
                <w:color w:val="000000"/>
                <w:kern w:val="0"/>
                <w:sz w:val="20"/>
                <w:szCs w:val="20"/>
              </w:rPr>
              <w:t>现行有效件</w:t>
            </w:r>
            <w:r>
              <w:rPr>
                <w:rFonts w:ascii="宋体" w:hAnsi="宋体" w:eastAsia="宋体" w:cs="宋体"/>
                <w:kern w:val="0"/>
                <w:sz w:val="20"/>
                <w:szCs w:val="20"/>
              </w:rPr>
              <w:t>数</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00" w:firstLineChars="200"/>
              <w:jc w:val="both"/>
              <w:rPr>
                <w:rFonts w:ascii="宋体" w:hAnsi="宋体" w:eastAsia="宋体" w:cs="宋体"/>
                <w:kern w:val="0"/>
                <w:sz w:val="24"/>
                <w:szCs w:val="24"/>
              </w:rPr>
            </w:pPr>
            <w:r>
              <w:rPr>
                <w:rFonts w:hint="eastAsia" w:ascii="宋体" w:hAnsi="宋体" w:eastAsia="宋体" w:cs="宋体"/>
                <w:color w:val="000000"/>
                <w:kern w:val="0"/>
                <w:sz w:val="20"/>
                <w:szCs w:val="20"/>
              </w:rPr>
              <w:t>规章</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80" w:firstLineChars="200"/>
              <w:jc w:val="both"/>
              <w:rPr>
                <w:rFonts w:hint="eastAsia" w:ascii="宋体" w:hAnsi="宋体" w:eastAsia="宋体" w:cs="宋体"/>
                <w:kern w:val="0"/>
                <w:sz w:val="24"/>
                <w:szCs w:val="24"/>
                <w:lang w:val="en-US" w:eastAsia="zh-CN"/>
              </w:rPr>
            </w:pP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80" w:firstLineChars="200"/>
              <w:jc w:val="both"/>
              <w:rPr>
                <w:rFonts w:hint="eastAsia" w:ascii="宋体" w:hAnsi="宋体" w:eastAsia="宋体" w:cs="宋体"/>
                <w:kern w:val="0"/>
                <w:sz w:val="24"/>
                <w:szCs w:val="24"/>
                <w:lang w:val="en-US" w:eastAsia="zh-CN"/>
              </w:rPr>
            </w:pP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80" w:firstLineChars="200"/>
              <w:jc w:val="both"/>
              <w:rPr>
                <w:rFonts w:hint="eastAsia" w:ascii="宋体" w:hAnsi="宋体" w:eastAsia="宋体" w:cs="宋体"/>
                <w:kern w:val="0"/>
                <w:sz w:val="24"/>
                <w:szCs w:val="24"/>
                <w:lang w:val="en-US" w:eastAsia="zh-CN"/>
              </w:rPr>
            </w:pP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00" w:firstLineChars="200"/>
              <w:jc w:val="both"/>
              <w:rPr>
                <w:rFonts w:ascii="宋体" w:hAnsi="宋体" w:eastAsia="宋体" w:cs="宋体"/>
                <w:kern w:val="0"/>
                <w:sz w:val="24"/>
                <w:szCs w:val="24"/>
              </w:rPr>
            </w:pPr>
            <w:r>
              <w:rPr>
                <w:rFonts w:hint="eastAsia" w:ascii="宋体" w:hAnsi="宋体" w:eastAsia="宋体" w:cs="宋体"/>
                <w:color w:val="000000"/>
                <w:kern w:val="0"/>
                <w:sz w:val="20"/>
                <w:szCs w:val="20"/>
              </w:rPr>
              <w:t>行政规范性文件</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80" w:firstLineChars="200"/>
              <w:jc w:val="both"/>
              <w:rPr>
                <w:rFonts w:hint="eastAsia" w:ascii="宋体" w:hAnsi="宋体" w:eastAsia="宋体" w:cs="宋体"/>
                <w:kern w:val="0"/>
                <w:sz w:val="24"/>
                <w:szCs w:val="24"/>
                <w:lang w:val="en-US" w:eastAsia="zh-CN"/>
              </w:rPr>
            </w:pP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80" w:firstLineChars="200"/>
              <w:jc w:val="both"/>
              <w:rPr>
                <w:rFonts w:hint="eastAsia" w:ascii="宋体" w:hAnsi="宋体" w:eastAsia="宋体" w:cs="宋体"/>
                <w:kern w:val="0"/>
                <w:sz w:val="24"/>
                <w:szCs w:val="24"/>
                <w:lang w:val="en-US" w:eastAsia="zh-CN"/>
              </w:rPr>
            </w:pP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80" w:firstLineChars="200"/>
              <w:jc w:val="both"/>
              <w:rPr>
                <w:rFonts w:hint="eastAsia" w:ascii="宋体" w:hAnsi="宋体" w:eastAsia="宋体" w:cs="宋体"/>
                <w:kern w:val="0"/>
                <w:sz w:val="24"/>
                <w:szCs w:val="24"/>
                <w:lang w:val="en-US" w:eastAsia="zh-CN"/>
              </w:rPr>
            </w:pP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00" w:firstLineChars="200"/>
              <w:jc w:val="both"/>
              <w:rPr>
                <w:rFonts w:ascii="宋体" w:hAnsi="宋体" w:eastAsia="宋体" w:cs="宋体"/>
                <w:kern w:val="0"/>
                <w:sz w:val="24"/>
                <w:szCs w:val="24"/>
              </w:rPr>
            </w:pPr>
            <w:r>
              <w:rPr>
                <w:rFonts w:hint="eastAsia" w:ascii="宋体" w:hAnsi="宋体" w:eastAsia="宋体" w:cs="宋体"/>
                <w:color w:val="000000"/>
                <w:kern w:val="0"/>
                <w:sz w:val="20"/>
                <w:szCs w:val="20"/>
              </w:rPr>
              <w:t>第二十条第（五）项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00" w:firstLineChars="200"/>
              <w:jc w:val="both"/>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00" w:firstLineChars="200"/>
              <w:jc w:val="both"/>
              <w:rPr>
                <w:rFonts w:ascii="宋体" w:hAnsi="宋体" w:eastAsia="宋体" w:cs="宋体"/>
                <w:kern w:val="0"/>
                <w:sz w:val="24"/>
                <w:szCs w:val="24"/>
              </w:rPr>
            </w:pPr>
            <w:r>
              <w:rPr>
                <w:rFonts w:hint="eastAsia" w:ascii="宋体" w:hAnsi="宋体" w:eastAsia="宋体" w:cs="宋体"/>
                <w:color w:val="000000"/>
                <w:kern w:val="0"/>
                <w:sz w:val="20"/>
                <w:szCs w:val="20"/>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00" w:firstLineChars="200"/>
              <w:jc w:val="both"/>
              <w:rPr>
                <w:rFonts w:ascii="宋体" w:hAnsi="宋体" w:eastAsia="宋体" w:cs="宋体"/>
                <w:kern w:val="0"/>
                <w:sz w:val="24"/>
                <w:szCs w:val="24"/>
              </w:rPr>
            </w:pPr>
            <w:r>
              <w:rPr>
                <w:rFonts w:hint="eastAsia" w:ascii="宋体" w:hAnsi="宋体" w:eastAsia="宋体" w:cs="宋体"/>
                <w:color w:val="000000"/>
                <w:kern w:val="0"/>
                <w:sz w:val="20"/>
                <w:szCs w:val="20"/>
              </w:rPr>
              <w:t>行政许可</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20" w:firstLineChars="200"/>
              <w:jc w:val="both"/>
              <w:rPr>
                <w:rFonts w:hint="default" w:ascii="宋体" w:hAnsi="宋体" w:eastAsia="宋体" w:cs="宋体"/>
                <w:kern w:val="0"/>
                <w:sz w:val="24"/>
                <w:szCs w:val="24"/>
                <w:lang w:val="en-US" w:eastAsia="zh-CN"/>
              </w:rPr>
            </w:pPr>
            <w:r>
              <w:rPr>
                <w:rFonts w:hint="eastAsia" w:cs="宋体"/>
                <w:kern w:val="0"/>
                <w:szCs w:val="21"/>
                <w:lang w:val="en-US" w:eastAsia="zh-CN"/>
              </w:rPr>
              <w:t>26</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00" w:firstLineChars="200"/>
              <w:jc w:val="both"/>
              <w:rPr>
                <w:rFonts w:ascii="宋体" w:hAnsi="宋体" w:eastAsia="宋体" w:cs="宋体"/>
                <w:kern w:val="0"/>
                <w:sz w:val="24"/>
                <w:szCs w:val="24"/>
              </w:rPr>
            </w:pPr>
            <w:r>
              <w:rPr>
                <w:rFonts w:hint="eastAsia" w:ascii="宋体" w:hAnsi="宋体" w:eastAsia="宋体" w:cs="宋体"/>
                <w:color w:val="000000"/>
                <w:kern w:val="0"/>
                <w:sz w:val="20"/>
                <w:szCs w:val="20"/>
              </w:rPr>
              <w:t>第二十条第（六）项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00" w:firstLineChars="200"/>
              <w:jc w:val="both"/>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7305"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00" w:firstLineChars="200"/>
              <w:jc w:val="both"/>
              <w:rPr>
                <w:rFonts w:ascii="宋体" w:hAnsi="宋体" w:eastAsia="宋体" w:cs="宋体"/>
                <w:kern w:val="0"/>
                <w:sz w:val="24"/>
                <w:szCs w:val="24"/>
              </w:rPr>
            </w:pPr>
            <w:r>
              <w:rPr>
                <w:rFonts w:hint="eastAsia" w:ascii="宋体" w:hAnsi="宋体" w:eastAsia="宋体" w:cs="宋体"/>
                <w:color w:val="000000"/>
                <w:kern w:val="0"/>
                <w:sz w:val="20"/>
                <w:szCs w:val="20"/>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00" w:firstLineChars="200"/>
              <w:jc w:val="both"/>
              <w:rPr>
                <w:rFonts w:ascii="宋体" w:hAnsi="宋体" w:eastAsia="宋体" w:cs="宋体"/>
                <w:kern w:val="0"/>
                <w:sz w:val="24"/>
                <w:szCs w:val="24"/>
              </w:rPr>
            </w:pPr>
            <w:r>
              <w:rPr>
                <w:rFonts w:hint="eastAsia" w:ascii="宋体" w:hAnsi="宋体" w:eastAsia="宋体" w:cs="宋体"/>
                <w:color w:val="000000"/>
                <w:kern w:val="0"/>
                <w:sz w:val="20"/>
                <w:szCs w:val="20"/>
              </w:rPr>
              <w:t>行政处罚</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80" w:firstLineChars="200"/>
              <w:jc w:val="both"/>
              <w:rPr>
                <w:rFonts w:hint="eastAsia" w:ascii="宋体" w:hAnsi="宋体" w:eastAsia="宋体" w:cs="宋体"/>
                <w:kern w:val="0"/>
                <w:sz w:val="24"/>
                <w:szCs w:val="24"/>
                <w:lang w:val="en-US" w:eastAsia="zh-CN"/>
              </w:rPr>
            </w:pP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00" w:firstLineChars="200"/>
              <w:jc w:val="both"/>
              <w:rPr>
                <w:rFonts w:ascii="宋体" w:hAnsi="宋体" w:eastAsia="宋体" w:cs="宋体"/>
                <w:kern w:val="0"/>
                <w:sz w:val="24"/>
                <w:szCs w:val="24"/>
              </w:rPr>
            </w:pPr>
            <w:r>
              <w:rPr>
                <w:rFonts w:hint="eastAsia" w:ascii="宋体" w:hAnsi="宋体" w:eastAsia="宋体" w:cs="宋体"/>
                <w:color w:val="000000"/>
                <w:kern w:val="0"/>
                <w:sz w:val="20"/>
                <w:szCs w:val="20"/>
              </w:rPr>
              <w:t>行政强制</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00" w:firstLineChars="200"/>
              <w:jc w:val="both"/>
              <w:rPr>
                <w:rFonts w:ascii="宋体" w:hAnsi="宋体" w:eastAsia="宋体" w:cs="宋体"/>
                <w:kern w:val="0"/>
                <w:sz w:val="24"/>
                <w:szCs w:val="24"/>
              </w:rPr>
            </w:pPr>
            <w:r>
              <w:rPr>
                <w:rFonts w:hint="eastAsia" w:ascii="宋体" w:hAnsi="宋体" w:eastAsia="宋体" w:cs="宋体"/>
                <w:color w:val="000000"/>
                <w:kern w:val="0"/>
                <w:sz w:val="20"/>
                <w:szCs w:val="20"/>
              </w:rPr>
              <w:t>　</w:t>
            </w:r>
          </w:p>
        </w:tc>
      </w:tr>
      <w:tr>
        <w:tblPrEx>
          <w:tblCellMar>
            <w:top w:w="0" w:type="dxa"/>
            <w:left w:w="0" w:type="dxa"/>
            <w:bottom w:w="0" w:type="dxa"/>
            <w:right w:w="0" w:type="dxa"/>
          </w:tblCellMar>
        </w:tblPrEx>
        <w:trPr>
          <w:trHeight w:val="328"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00" w:firstLineChars="200"/>
              <w:jc w:val="both"/>
              <w:rPr>
                <w:rFonts w:ascii="宋体" w:hAnsi="宋体" w:eastAsia="宋体" w:cs="宋体"/>
                <w:kern w:val="0"/>
                <w:sz w:val="24"/>
                <w:szCs w:val="24"/>
              </w:rPr>
            </w:pPr>
            <w:r>
              <w:rPr>
                <w:rFonts w:hint="eastAsia" w:ascii="宋体" w:hAnsi="宋体" w:eastAsia="宋体" w:cs="宋体"/>
                <w:color w:val="000000"/>
                <w:kern w:val="0"/>
                <w:sz w:val="20"/>
                <w:szCs w:val="20"/>
              </w:rPr>
              <w:t>第二十条第（八）项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00" w:firstLineChars="200"/>
              <w:jc w:val="both"/>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00" w:firstLineChars="200"/>
              <w:jc w:val="both"/>
              <w:rPr>
                <w:rFonts w:ascii="宋体" w:hAnsi="宋体" w:eastAsia="宋体" w:cs="宋体"/>
                <w:kern w:val="0"/>
                <w:sz w:val="24"/>
                <w:szCs w:val="24"/>
              </w:rPr>
            </w:pPr>
            <w:r>
              <w:rPr>
                <w:rFonts w:hint="eastAsia" w:ascii="宋体" w:hAnsi="宋体" w:eastAsia="宋体" w:cs="宋体"/>
                <w:color w:val="000000"/>
                <w:kern w:val="0"/>
                <w:sz w:val="20"/>
                <w:szCs w:val="20"/>
              </w:rPr>
              <w:t>本年收费金额（单位：万元）</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00" w:firstLineChars="200"/>
              <w:jc w:val="both"/>
              <w:rPr>
                <w:rFonts w:ascii="宋体" w:hAnsi="宋体" w:eastAsia="宋体" w:cs="宋体"/>
                <w:kern w:val="0"/>
                <w:sz w:val="24"/>
                <w:szCs w:val="24"/>
              </w:rPr>
            </w:pPr>
            <w:r>
              <w:rPr>
                <w:rFonts w:hint="eastAsia" w:ascii="宋体" w:hAnsi="宋体" w:eastAsia="宋体" w:cs="宋体"/>
                <w:color w:val="000000"/>
                <w:kern w:val="0"/>
                <w:sz w:val="20"/>
                <w:szCs w:val="20"/>
              </w:rPr>
              <w:t>行政事业性收费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480" w:firstLineChars="200"/>
              <w:jc w:val="both"/>
              <w:rPr>
                <w:rFonts w:hint="eastAsia" w:ascii="宋体" w:hAnsi="宋体" w:eastAsia="宋体" w:cs="宋体"/>
                <w:kern w:val="0"/>
                <w:sz w:val="24"/>
                <w:szCs w:val="24"/>
                <w:lang w:val="en-US" w:eastAsia="zh-CN"/>
              </w:rPr>
            </w:pPr>
          </w:p>
        </w:tc>
      </w:tr>
    </w:tbl>
    <w:p>
      <w:pPr>
        <w:keepNext w:val="0"/>
        <w:keepLines w:val="0"/>
        <w:pageBreakBefore w:val="0"/>
        <w:widowControl/>
        <w:shd w:val="clear" w:color="auto" w:fill="auto"/>
        <w:kinsoku/>
        <w:wordWrap/>
        <w:overflowPunct/>
        <w:topLinePunct w:val="0"/>
        <w:autoSpaceDE/>
        <w:autoSpaceDN/>
        <w:bidi w:val="0"/>
        <w:adjustRightInd/>
        <w:snapToGrid/>
        <w:spacing w:line="560" w:lineRule="exact"/>
        <w:ind w:firstLine="640" w:firstLineChars="200"/>
        <w:jc w:val="both"/>
        <w:rPr>
          <w:rFonts w:hint="eastAsia" w:ascii="黑体" w:hAnsi="黑体" w:eastAsia="黑体" w:cs="黑体"/>
          <w:b w:val="0"/>
          <w:bCs w:val="0"/>
          <w:color w:val="auto"/>
          <w:kern w:val="2"/>
          <w:sz w:val="32"/>
          <w:szCs w:val="32"/>
        </w:rPr>
      </w:pPr>
      <w:r>
        <w:rPr>
          <w:rFonts w:hint="eastAsia" w:ascii="黑体" w:hAnsi="黑体" w:eastAsia="黑体" w:cs="黑体"/>
          <w:b w:val="0"/>
          <w:bCs w:val="0"/>
          <w:color w:val="auto"/>
          <w:kern w:val="2"/>
          <w:sz w:val="32"/>
          <w:szCs w:val="32"/>
        </w:rPr>
        <w:t>三、收到和处理政府信息公开申请情况</w:t>
      </w:r>
    </w:p>
    <w:tbl>
      <w:tblPr>
        <w:tblStyle w:val="7"/>
        <w:tblW w:w="8319"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13"/>
        <w:gridCol w:w="822"/>
        <w:gridCol w:w="2029"/>
        <w:gridCol w:w="594"/>
        <w:gridCol w:w="594"/>
        <w:gridCol w:w="594"/>
        <w:gridCol w:w="594"/>
        <w:gridCol w:w="594"/>
        <w:gridCol w:w="443"/>
        <w:gridCol w:w="4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 w:hRule="atLeast"/>
        </w:trPr>
        <w:tc>
          <w:tcPr>
            <w:tcW w:w="4464" w:type="dxa"/>
            <w:gridSpan w:val="3"/>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ascii="楷体" w:hAnsi="楷体" w:eastAsia="楷体" w:cs="楷体"/>
                <w:i w:val="0"/>
                <w:iCs w:val="0"/>
                <w:color w:val="000000"/>
                <w:sz w:val="20"/>
                <w:szCs w:val="20"/>
                <w:u w:val="none"/>
              </w:rPr>
            </w:pPr>
            <w:r>
              <w:rPr>
                <w:rFonts w:hint="eastAsia" w:ascii="楷体" w:hAnsi="楷体" w:eastAsia="楷体" w:cs="楷体"/>
                <w:i w:val="0"/>
                <w:iCs w:val="0"/>
                <w:color w:val="000000"/>
                <w:kern w:val="0"/>
                <w:sz w:val="20"/>
                <w:szCs w:val="20"/>
                <w:u w:val="none"/>
                <w:lang w:val="en-US" w:eastAsia="zh-CN" w:bidi="ar"/>
              </w:rPr>
              <w:t>（本列数据的勾稽关系为：第一项加第二项之和，等于第三项加第四项之和）</w:t>
            </w:r>
          </w:p>
        </w:tc>
        <w:tc>
          <w:tcPr>
            <w:tcW w:w="3855" w:type="dxa"/>
            <w:gridSpan w:val="7"/>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 w:hRule="atLeast"/>
        </w:trPr>
        <w:tc>
          <w:tcPr>
            <w:tcW w:w="4464" w:type="dxa"/>
            <w:gridSpan w:val="3"/>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楷体" w:hAnsi="楷体" w:eastAsia="楷体" w:cs="楷体"/>
                <w:i w:val="0"/>
                <w:iCs w:val="0"/>
                <w:color w:val="000000"/>
                <w:sz w:val="20"/>
                <w:szCs w:val="20"/>
                <w:u w:val="none"/>
              </w:rPr>
            </w:pPr>
          </w:p>
        </w:tc>
        <w:tc>
          <w:tcPr>
            <w:tcW w:w="594" w:type="dxa"/>
            <w:vMerge w:val="restar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自然人</w:t>
            </w:r>
          </w:p>
        </w:tc>
        <w:tc>
          <w:tcPr>
            <w:tcW w:w="2819" w:type="dxa"/>
            <w:gridSpan w:val="5"/>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法人或其他组织</w:t>
            </w:r>
          </w:p>
        </w:tc>
        <w:tc>
          <w:tcPr>
            <w:tcW w:w="442"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4464" w:type="dxa"/>
            <w:gridSpan w:val="3"/>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楷体" w:hAnsi="楷体" w:eastAsia="楷体" w:cs="楷体"/>
                <w:i w:val="0"/>
                <w:iCs w:val="0"/>
                <w:color w:val="000000"/>
                <w:sz w:val="20"/>
                <w:szCs w:val="20"/>
                <w:u w:val="none"/>
              </w:rPr>
            </w:pPr>
          </w:p>
        </w:tc>
        <w:tc>
          <w:tcPr>
            <w:tcW w:w="594"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594" w:type="dxa"/>
            <w:tcBorders>
              <w:top w:val="nil"/>
              <w:left w:val="nil"/>
              <w:bottom w:val="nil"/>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商业</w:t>
            </w:r>
          </w:p>
        </w:tc>
        <w:tc>
          <w:tcPr>
            <w:tcW w:w="594" w:type="dxa"/>
            <w:tcBorders>
              <w:top w:val="nil"/>
              <w:left w:val="nil"/>
              <w:bottom w:val="nil"/>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科研</w:t>
            </w:r>
          </w:p>
        </w:tc>
        <w:tc>
          <w:tcPr>
            <w:tcW w:w="594"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社会公益组织</w:t>
            </w:r>
          </w:p>
        </w:tc>
        <w:tc>
          <w:tcPr>
            <w:tcW w:w="594"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法律服务机构</w:t>
            </w:r>
          </w:p>
        </w:tc>
        <w:tc>
          <w:tcPr>
            <w:tcW w:w="443"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w:t>
            </w:r>
          </w:p>
        </w:tc>
        <w:tc>
          <w:tcPr>
            <w:tcW w:w="442"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 w:hRule="atLeast"/>
        </w:trPr>
        <w:tc>
          <w:tcPr>
            <w:tcW w:w="4464" w:type="dxa"/>
            <w:gridSpan w:val="3"/>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楷体" w:hAnsi="楷体" w:eastAsia="楷体" w:cs="楷体"/>
                <w:i w:val="0"/>
                <w:iCs w:val="0"/>
                <w:color w:val="000000"/>
                <w:sz w:val="20"/>
                <w:szCs w:val="20"/>
                <w:u w:val="none"/>
              </w:rPr>
            </w:pPr>
          </w:p>
        </w:tc>
        <w:tc>
          <w:tcPr>
            <w:tcW w:w="594"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企业</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机构</w:t>
            </w:r>
          </w:p>
        </w:tc>
        <w:tc>
          <w:tcPr>
            <w:tcW w:w="594"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594"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443"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442"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 w:hRule="atLeast"/>
        </w:trPr>
        <w:tc>
          <w:tcPr>
            <w:tcW w:w="4464" w:type="dxa"/>
            <w:gridSpan w:val="3"/>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一、本年新收政府信息公开申请数量</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 w:hRule="atLeast"/>
        </w:trPr>
        <w:tc>
          <w:tcPr>
            <w:tcW w:w="4464" w:type="dxa"/>
            <w:gridSpan w:val="3"/>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二、上年结转政府信息公开申请数量</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9" w:hRule="atLeast"/>
        </w:trPr>
        <w:tc>
          <w:tcPr>
            <w:tcW w:w="1613"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三、本年度办理结果</w:t>
            </w:r>
          </w:p>
        </w:tc>
        <w:tc>
          <w:tcPr>
            <w:tcW w:w="2851" w:type="dxa"/>
            <w:gridSpan w:val="2"/>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（一）予以公开</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2"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2851" w:type="dxa"/>
            <w:gridSpan w:val="2"/>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Style w:val="11"/>
                <w:lang w:val="en-US" w:eastAsia="zh-CN" w:bidi="ar"/>
              </w:rPr>
              <w:t>（二）部分公开</w:t>
            </w:r>
            <w:r>
              <w:rPr>
                <w:rStyle w:val="12"/>
                <w:lang w:val="en-US" w:eastAsia="zh-CN" w:bidi="ar"/>
              </w:rPr>
              <w:t>（区分处理的，只计这一情形，不计其他情形）</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822" w:type="dxa"/>
            <w:vMerge w:val="restar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（三）不予公开</w:t>
            </w: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1.属于国家秘密</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2.其他法律行政法规禁止公开</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3.危及“三安全一稳定”</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4.保护第三方合法权益</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5.属于三类内部事务信息</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6.属于四类过程性信息</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7.属于行政执法案卷</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8.属于行政查询事项</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822" w:type="dxa"/>
            <w:vMerge w:val="restar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（四）无法提供</w:t>
            </w: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1.本机关不掌握相关政府信息</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2.没有现成信息需要另行制作</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3.补正后申请内容仍不明确</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822" w:type="dxa"/>
            <w:vMerge w:val="restar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（五）不予处理</w:t>
            </w: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1.信访举报投诉类申请</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2.重复申请</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3.要求提供公开出版物</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4.无正当理由大量反复申请</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5.要求行政机关确认或重新出具已获取信息</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822" w:type="dxa"/>
            <w:vMerge w:val="restar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（六）其他处理</w:t>
            </w: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1.申请人无正当理由逾期不补正、行政机关不再处理其政府信息公开申请</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2.申请人逾期未按收费通知要求缴纳费用、行政机关不再处理其政府信息公开申请</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822"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2029"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3.其他</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 w:hRule="atLeast"/>
        </w:trPr>
        <w:tc>
          <w:tcPr>
            <w:tcW w:w="1613"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2851" w:type="dxa"/>
            <w:gridSpan w:val="2"/>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（七）总计</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4464" w:type="dxa"/>
            <w:gridSpan w:val="3"/>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四、结转下年度继续办理</w:t>
            </w: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594"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3"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c>
          <w:tcPr>
            <w:tcW w:w="442"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default" w:ascii="Calibri" w:hAnsi="Calibri" w:eastAsia="宋体" w:cs="Calibri"/>
                <w:i w:val="0"/>
                <w:iCs w:val="0"/>
                <w:color w:val="000000"/>
                <w:sz w:val="20"/>
                <w:szCs w:val="20"/>
                <w:u w:val="none"/>
              </w:rPr>
            </w:pPr>
          </w:p>
        </w:tc>
      </w:tr>
    </w:tbl>
    <w:p>
      <w:pPr>
        <w:keepNext w:val="0"/>
        <w:keepLines w:val="0"/>
        <w:pageBreakBefore w:val="0"/>
        <w:widowControl/>
        <w:shd w:val="clear" w:color="auto" w:fill="auto"/>
        <w:kinsoku/>
        <w:wordWrap/>
        <w:overflowPunct/>
        <w:topLinePunct w:val="0"/>
        <w:autoSpaceDE/>
        <w:autoSpaceDN/>
        <w:bidi w:val="0"/>
        <w:adjustRightInd/>
        <w:snapToGrid/>
        <w:spacing w:line="560" w:lineRule="exact"/>
        <w:ind w:firstLine="640" w:firstLineChars="200"/>
        <w:jc w:val="both"/>
        <w:rPr>
          <w:rFonts w:hint="eastAsia" w:ascii="黑体" w:hAnsi="黑体" w:eastAsia="黑体" w:cs="黑体"/>
          <w:b w:val="0"/>
          <w:bCs w:val="0"/>
          <w:color w:val="auto"/>
          <w:kern w:val="2"/>
          <w:sz w:val="32"/>
          <w:szCs w:val="32"/>
        </w:rPr>
      </w:pPr>
      <w:r>
        <w:rPr>
          <w:rFonts w:hint="eastAsia" w:ascii="黑体" w:hAnsi="黑体" w:eastAsia="黑体" w:cs="黑体"/>
          <w:b w:val="0"/>
          <w:bCs w:val="0"/>
          <w:color w:val="auto"/>
          <w:kern w:val="2"/>
          <w:sz w:val="32"/>
          <w:szCs w:val="32"/>
        </w:rPr>
        <w:t>四、政府信息公开行政复议、行政诉讼情况</w:t>
      </w:r>
    </w:p>
    <w:tbl>
      <w:tblPr>
        <w:tblStyle w:val="7"/>
        <w:tblW w:w="974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55"/>
        <w:gridCol w:w="655"/>
        <w:gridCol w:w="655"/>
        <w:gridCol w:w="655"/>
        <w:gridCol w:w="465"/>
        <w:gridCol w:w="656"/>
        <w:gridCol w:w="656"/>
        <w:gridCol w:w="1136"/>
        <w:gridCol w:w="656"/>
        <w:gridCol w:w="465"/>
        <w:gridCol w:w="656"/>
        <w:gridCol w:w="656"/>
        <w:gridCol w:w="657"/>
        <w:gridCol w:w="658"/>
        <w:gridCol w:w="4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3" w:hRule="atLeast"/>
          <w:jc w:val="center"/>
        </w:trPr>
        <w:tc>
          <w:tcPr>
            <w:tcW w:w="2760"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行政复议</w:t>
            </w:r>
          </w:p>
        </w:tc>
        <w:tc>
          <w:tcPr>
            <w:tcW w:w="5959" w:type="dxa"/>
            <w:gridSpan w:val="10"/>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3" w:hRule="atLeast"/>
          <w:jc w:val="center"/>
        </w:trPr>
        <w:tc>
          <w:tcPr>
            <w:tcW w:w="586"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结果维持</w:t>
            </w:r>
          </w:p>
        </w:tc>
        <w:tc>
          <w:tcPr>
            <w:tcW w:w="586" w:type="dxa"/>
            <w:vMerge w:val="restar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结果纠正</w:t>
            </w:r>
          </w:p>
        </w:tc>
        <w:tc>
          <w:tcPr>
            <w:tcW w:w="586"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其他结果</w:t>
            </w:r>
          </w:p>
        </w:tc>
        <w:tc>
          <w:tcPr>
            <w:tcW w:w="586"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尚未审结</w:t>
            </w:r>
          </w:p>
        </w:tc>
        <w:tc>
          <w:tcPr>
            <w:tcW w:w="416"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总计</w:t>
            </w:r>
          </w:p>
        </w:tc>
        <w:tc>
          <w:tcPr>
            <w:tcW w:w="3193"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未经复议直接起诉</w:t>
            </w:r>
          </w:p>
        </w:tc>
        <w:tc>
          <w:tcPr>
            <w:tcW w:w="2766"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586"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586"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586"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586"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416"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587" w:type="dxa"/>
            <w:vMerge w:val="restar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结果维持</w:t>
            </w:r>
          </w:p>
        </w:tc>
        <w:tc>
          <w:tcPr>
            <w:tcW w:w="587" w:type="dxa"/>
            <w:vMerge w:val="restar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结果纠正</w:t>
            </w:r>
          </w:p>
        </w:tc>
        <w:tc>
          <w:tcPr>
            <w:tcW w:w="1016" w:type="dxa"/>
            <w:vMerge w:val="restart"/>
            <w:tcBorders>
              <w:top w:val="single" w:color="000000" w:sz="8" w:space="0"/>
              <w:left w:val="nil"/>
              <w:bottom w:val="single" w:color="000000" w:sz="8"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其他结果</w:t>
            </w:r>
          </w:p>
        </w:tc>
        <w:tc>
          <w:tcPr>
            <w:tcW w:w="587"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尚未审结</w:t>
            </w:r>
          </w:p>
        </w:tc>
        <w:tc>
          <w:tcPr>
            <w:tcW w:w="416"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总计</w:t>
            </w:r>
          </w:p>
        </w:tc>
        <w:tc>
          <w:tcPr>
            <w:tcW w:w="587"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结果维持</w:t>
            </w:r>
          </w:p>
        </w:tc>
        <w:tc>
          <w:tcPr>
            <w:tcW w:w="587"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结果纠正</w:t>
            </w:r>
          </w:p>
        </w:tc>
        <w:tc>
          <w:tcPr>
            <w:tcW w:w="587"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其他结果</w:t>
            </w:r>
          </w:p>
        </w:tc>
        <w:tc>
          <w:tcPr>
            <w:tcW w:w="588"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尚未审结</w:t>
            </w:r>
          </w:p>
        </w:tc>
        <w:tc>
          <w:tcPr>
            <w:tcW w:w="417"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586"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586"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586"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586"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416"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587"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587"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1016" w:type="dxa"/>
            <w:vMerge w:val="continue"/>
            <w:tcBorders>
              <w:top w:val="single" w:color="000000" w:sz="8" w:space="0"/>
              <w:left w:val="nil"/>
              <w:bottom w:val="single" w:color="000000" w:sz="8" w:space="0"/>
              <w:right w:val="single" w:color="000000" w:sz="8" w:space="0"/>
            </w:tcBorders>
            <w:shd w:val="clear" w:color="auto" w:fill="auto"/>
            <w:noWrap/>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587"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416"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587"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587"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587"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588"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c>
          <w:tcPr>
            <w:tcW w:w="417" w:type="dxa"/>
            <w:vMerge w:val="continue"/>
            <w:tcBorders>
              <w:top w:val="single" w:color="000000" w:sz="8" w:space="0"/>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jc w:val="both"/>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6" w:hRule="atLeast"/>
          <w:jc w:val="center"/>
        </w:trPr>
        <w:tc>
          <w:tcPr>
            <w:tcW w:w="586"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jc w:val="both"/>
              <w:textAlignment w:val="bottom"/>
              <w:rPr>
                <w:rFonts w:hint="eastAsia" w:ascii="宋体" w:hAnsi="宋体" w:eastAsia="宋体" w:cs="宋体"/>
                <w:i w:val="0"/>
                <w:iCs w:val="0"/>
                <w:color w:val="000000"/>
                <w:sz w:val="20"/>
                <w:szCs w:val="20"/>
                <w:u w:val="none"/>
              </w:rPr>
            </w:pPr>
          </w:p>
        </w:tc>
        <w:tc>
          <w:tcPr>
            <w:tcW w:w="586"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jc w:val="both"/>
              <w:textAlignment w:val="bottom"/>
              <w:rPr>
                <w:rFonts w:hint="eastAsia" w:ascii="宋体" w:hAnsi="宋体" w:eastAsia="宋体" w:cs="宋体"/>
                <w:i w:val="0"/>
                <w:iCs w:val="0"/>
                <w:color w:val="000000"/>
                <w:sz w:val="20"/>
                <w:szCs w:val="20"/>
                <w:u w:val="none"/>
              </w:rPr>
            </w:pPr>
          </w:p>
        </w:tc>
        <w:tc>
          <w:tcPr>
            <w:tcW w:w="586"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jc w:val="both"/>
              <w:textAlignment w:val="bottom"/>
              <w:rPr>
                <w:rFonts w:hint="eastAsia" w:ascii="宋体" w:hAnsi="宋体" w:eastAsia="宋体" w:cs="宋体"/>
                <w:i w:val="0"/>
                <w:iCs w:val="0"/>
                <w:color w:val="000000"/>
                <w:sz w:val="20"/>
                <w:szCs w:val="20"/>
                <w:u w:val="none"/>
              </w:rPr>
            </w:pPr>
          </w:p>
        </w:tc>
        <w:tc>
          <w:tcPr>
            <w:tcW w:w="586"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jc w:val="both"/>
              <w:textAlignment w:val="bottom"/>
              <w:rPr>
                <w:rFonts w:hint="eastAsia" w:ascii="宋体" w:hAnsi="宋体" w:eastAsia="宋体" w:cs="宋体"/>
                <w:i w:val="0"/>
                <w:iCs w:val="0"/>
                <w:color w:val="000000"/>
                <w:sz w:val="20"/>
                <w:szCs w:val="20"/>
                <w:u w:val="none"/>
              </w:rPr>
            </w:pPr>
          </w:p>
        </w:tc>
        <w:tc>
          <w:tcPr>
            <w:tcW w:w="416"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jc w:val="both"/>
              <w:textAlignment w:val="bottom"/>
              <w:rPr>
                <w:rFonts w:hint="eastAsia" w:ascii="宋体" w:hAnsi="宋体" w:eastAsia="宋体" w:cs="宋体"/>
                <w:i w:val="0"/>
                <w:iCs w:val="0"/>
                <w:color w:val="000000"/>
                <w:sz w:val="20"/>
                <w:szCs w:val="20"/>
                <w:u w:val="none"/>
              </w:rPr>
            </w:pPr>
          </w:p>
        </w:tc>
        <w:tc>
          <w:tcPr>
            <w:tcW w:w="587"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jc w:val="both"/>
              <w:textAlignment w:val="bottom"/>
              <w:rPr>
                <w:rFonts w:hint="eastAsia" w:ascii="宋体" w:hAnsi="宋体" w:eastAsia="宋体" w:cs="宋体"/>
                <w:i w:val="0"/>
                <w:iCs w:val="0"/>
                <w:color w:val="000000"/>
                <w:sz w:val="20"/>
                <w:szCs w:val="20"/>
                <w:u w:val="none"/>
              </w:rPr>
            </w:pPr>
          </w:p>
        </w:tc>
        <w:tc>
          <w:tcPr>
            <w:tcW w:w="587"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jc w:val="both"/>
              <w:textAlignment w:val="bottom"/>
              <w:rPr>
                <w:rFonts w:hint="eastAsia" w:ascii="宋体" w:hAnsi="宋体" w:eastAsia="宋体" w:cs="宋体"/>
                <w:i w:val="0"/>
                <w:iCs w:val="0"/>
                <w:color w:val="000000"/>
                <w:sz w:val="20"/>
                <w:szCs w:val="20"/>
                <w:u w:val="none"/>
              </w:rPr>
            </w:pPr>
          </w:p>
        </w:tc>
        <w:tc>
          <w:tcPr>
            <w:tcW w:w="1016"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jc w:val="both"/>
              <w:textAlignment w:val="bottom"/>
              <w:rPr>
                <w:rFonts w:hint="eastAsia" w:ascii="宋体" w:hAnsi="宋体" w:eastAsia="宋体" w:cs="宋体"/>
                <w:i w:val="0"/>
                <w:iCs w:val="0"/>
                <w:color w:val="000000"/>
                <w:sz w:val="20"/>
                <w:szCs w:val="20"/>
                <w:u w:val="none"/>
              </w:rPr>
            </w:pPr>
          </w:p>
        </w:tc>
        <w:tc>
          <w:tcPr>
            <w:tcW w:w="587"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jc w:val="both"/>
              <w:textAlignment w:val="bottom"/>
              <w:rPr>
                <w:rFonts w:hint="eastAsia" w:ascii="宋体" w:hAnsi="宋体" w:eastAsia="宋体" w:cs="宋体"/>
                <w:i w:val="0"/>
                <w:iCs w:val="0"/>
                <w:color w:val="000000"/>
                <w:sz w:val="20"/>
                <w:szCs w:val="20"/>
                <w:u w:val="none"/>
              </w:rPr>
            </w:pPr>
          </w:p>
        </w:tc>
        <w:tc>
          <w:tcPr>
            <w:tcW w:w="416"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jc w:val="both"/>
              <w:textAlignment w:val="bottom"/>
              <w:rPr>
                <w:rFonts w:hint="eastAsia" w:ascii="宋体" w:hAnsi="宋体" w:eastAsia="宋体" w:cs="宋体"/>
                <w:i w:val="0"/>
                <w:iCs w:val="0"/>
                <w:color w:val="000000"/>
                <w:sz w:val="20"/>
                <w:szCs w:val="20"/>
                <w:u w:val="none"/>
              </w:rPr>
            </w:pPr>
          </w:p>
        </w:tc>
        <w:tc>
          <w:tcPr>
            <w:tcW w:w="587"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jc w:val="both"/>
              <w:textAlignment w:val="bottom"/>
              <w:rPr>
                <w:rFonts w:hint="eastAsia" w:ascii="宋体" w:hAnsi="宋体" w:eastAsia="宋体" w:cs="宋体"/>
                <w:i w:val="0"/>
                <w:iCs w:val="0"/>
                <w:color w:val="000000"/>
                <w:sz w:val="20"/>
                <w:szCs w:val="20"/>
                <w:u w:val="none"/>
              </w:rPr>
            </w:pPr>
          </w:p>
        </w:tc>
        <w:tc>
          <w:tcPr>
            <w:tcW w:w="587"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jc w:val="both"/>
              <w:textAlignment w:val="bottom"/>
              <w:rPr>
                <w:rFonts w:hint="eastAsia" w:ascii="宋体" w:hAnsi="宋体" w:eastAsia="宋体" w:cs="宋体"/>
                <w:i w:val="0"/>
                <w:iCs w:val="0"/>
                <w:color w:val="000000"/>
                <w:sz w:val="20"/>
                <w:szCs w:val="20"/>
                <w:u w:val="none"/>
              </w:rPr>
            </w:pPr>
          </w:p>
        </w:tc>
        <w:tc>
          <w:tcPr>
            <w:tcW w:w="587"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jc w:val="both"/>
              <w:textAlignment w:val="bottom"/>
              <w:rPr>
                <w:rFonts w:hint="eastAsia" w:ascii="宋体" w:hAnsi="宋体" w:eastAsia="宋体" w:cs="宋体"/>
                <w:i w:val="0"/>
                <w:iCs w:val="0"/>
                <w:color w:val="000000"/>
                <w:sz w:val="20"/>
                <w:szCs w:val="20"/>
                <w:u w:val="none"/>
              </w:rPr>
            </w:pPr>
          </w:p>
        </w:tc>
        <w:tc>
          <w:tcPr>
            <w:tcW w:w="588"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jc w:val="both"/>
              <w:textAlignment w:val="bottom"/>
              <w:rPr>
                <w:rFonts w:hint="eastAsia" w:ascii="宋体" w:hAnsi="宋体" w:eastAsia="宋体" w:cs="宋体"/>
                <w:i w:val="0"/>
                <w:iCs w:val="0"/>
                <w:color w:val="000000"/>
                <w:sz w:val="20"/>
                <w:szCs w:val="20"/>
                <w:u w:val="none"/>
              </w:rPr>
            </w:pPr>
          </w:p>
        </w:tc>
        <w:tc>
          <w:tcPr>
            <w:tcW w:w="417" w:type="dxa"/>
            <w:tcBorders>
              <w:top w:val="nil"/>
              <w:left w:val="single" w:color="000000" w:sz="8" w:space="0"/>
              <w:bottom w:val="single" w:color="000000" w:sz="8" w:space="0"/>
              <w:right w:val="single" w:color="000000" w:sz="8" w:space="0"/>
            </w:tcBorders>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jc w:val="both"/>
              <w:textAlignment w:val="bottom"/>
              <w:rPr>
                <w:rFonts w:hint="eastAsia" w:ascii="宋体" w:hAnsi="宋体" w:eastAsia="宋体" w:cs="宋体"/>
                <w:i w:val="0"/>
                <w:iCs w:val="0"/>
                <w:color w:val="000000"/>
                <w:sz w:val="20"/>
                <w:szCs w:val="20"/>
                <w:u w:val="none"/>
              </w:rPr>
            </w:pPr>
          </w:p>
        </w:tc>
      </w:tr>
    </w:tbl>
    <w:p>
      <w:pPr>
        <w:keepNext w:val="0"/>
        <w:keepLines w:val="0"/>
        <w:pageBreakBefore w:val="0"/>
        <w:widowControl/>
        <w:shd w:val="clear" w:color="auto" w:fill="auto"/>
        <w:kinsoku/>
        <w:wordWrap/>
        <w:overflowPunct/>
        <w:topLinePunct w:val="0"/>
        <w:autoSpaceDE/>
        <w:autoSpaceDN/>
        <w:bidi w:val="0"/>
        <w:adjustRightInd/>
        <w:snapToGrid/>
        <w:spacing w:line="560" w:lineRule="exact"/>
        <w:ind w:firstLine="640" w:firstLineChars="200"/>
        <w:jc w:val="both"/>
        <w:rPr>
          <w:rFonts w:hint="eastAsia" w:ascii="黑体" w:hAnsi="黑体" w:eastAsia="黑体" w:cs="黑体"/>
          <w:b w:val="0"/>
          <w:bCs w:val="0"/>
          <w:color w:val="auto"/>
          <w:kern w:val="2"/>
          <w:sz w:val="32"/>
          <w:szCs w:val="32"/>
        </w:rPr>
      </w:pPr>
      <w:r>
        <w:rPr>
          <w:rFonts w:hint="eastAsia" w:ascii="黑体" w:hAnsi="黑体" w:eastAsia="黑体" w:cs="黑体"/>
          <w:b w:val="0"/>
          <w:bCs w:val="0"/>
          <w:color w:val="auto"/>
          <w:kern w:val="2"/>
          <w:sz w:val="32"/>
          <w:szCs w:val="32"/>
        </w:rPr>
        <w:t>五、存在的主要问题及改进情况</w:t>
      </w:r>
    </w:p>
    <w:p>
      <w:pPr>
        <w:shd w:val="clear" w:color="auto" w:fill="auto"/>
        <w:spacing w:before="0" w:beforeAutospacing="0" w:after="0" w:afterAutospacing="0" w:line="560" w:lineRule="exact"/>
        <w:ind w:firstLine="640" w:firstLineChars="200"/>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202</w:t>
      </w:r>
      <w:r>
        <w:rPr>
          <w:rFonts w:hint="eastAsia" w:ascii="仿宋_GB2312" w:hAnsi="仿宋_GB2312" w:eastAsia="仿宋_GB2312" w:cs="仿宋_GB2312"/>
          <w:bCs/>
          <w:color w:val="000000"/>
          <w:sz w:val="32"/>
          <w:szCs w:val="32"/>
          <w:lang w:val="en-US"/>
        </w:rPr>
        <w:t>3</w:t>
      </w:r>
      <w:r>
        <w:rPr>
          <w:rFonts w:hint="eastAsia" w:ascii="仿宋_GB2312" w:hAnsi="仿宋_GB2312" w:eastAsia="仿宋_GB2312" w:cs="仿宋_GB2312"/>
          <w:bCs/>
          <w:color w:val="000000"/>
          <w:sz w:val="32"/>
          <w:szCs w:val="32"/>
        </w:rPr>
        <w:t>年，石嘴山市气象局政府信息公开工作能够正常开展，并取得了一定的成效，但公开平台管理仍需加强，通过微信公众号公开政府信息情况还不够到位，主要表现在：主动公开的及时性有待进一步加强，政策解读的及时性和社会关切的回应力度还需要进一步加大。政府信息公开工作人员参加的系统培训较少，业务能力有待进一步提高。</w:t>
      </w:r>
    </w:p>
    <w:p>
      <w:pPr>
        <w:shd w:val="clear" w:color="auto" w:fill="auto"/>
        <w:spacing w:before="0" w:beforeAutospacing="0" w:after="0" w:afterAutospacing="0" w:line="560" w:lineRule="exact"/>
        <w:ind w:firstLine="640" w:firstLineChars="200"/>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202</w:t>
      </w:r>
      <w:r>
        <w:rPr>
          <w:rFonts w:hint="eastAsia" w:ascii="仿宋_GB2312" w:hAnsi="仿宋_GB2312" w:eastAsia="仿宋_GB2312" w:cs="仿宋_GB2312"/>
          <w:bCs/>
          <w:color w:val="000000"/>
          <w:sz w:val="32"/>
          <w:szCs w:val="32"/>
          <w:lang w:val="en-US"/>
        </w:rPr>
        <w:t>4</w:t>
      </w:r>
      <w:r>
        <w:rPr>
          <w:rFonts w:hint="eastAsia" w:ascii="仿宋_GB2312" w:hAnsi="仿宋_GB2312" w:eastAsia="仿宋_GB2312" w:cs="仿宋_GB2312"/>
          <w:bCs/>
          <w:color w:val="000000"/>
          <w:sz w:val="32"/>
          <w:szCs w:val="32"/>
        </w:rPr>
        <w:t>年，石嘴山市气象局将根据区局政府信息公开相关要求，进一步贯彻落实《石嘴山市气象局政务信息公开制度》，继续坚持把政府信息公开工作融入到气象部门中心工作中，进一步强化日常管理，推进政府信息公开常态化，落实好“公开是常态、不公开是例外”的要求，保证应公开政府信息及时公开。同时，加强对所辖县（区）气象局政府信息公开工作的指导，加大主动公开力度，细化公开内容。在新的一年，我局将继续加强信息公开工作队伍建设，组织开展信息公开工作人员理论知识培训，提高信息公开水平，努力满足公众对气象部门政府信息的要求。</w:t>
      </w:r>
    </w:p>
    <w:p>
      <w:pPr>
        <w:keepNext w:val="0"/>
        <w:keepLines w:val="0"/>
        <w:pageBreakBefore w:val="0"/>
        <w:widowControl/>
        <w:shd w:val="clear" w:color="auto" w:fill="auto"/>
        <w:kinsoku/>
        <w:wordWrap/>
        <w:overflowPunct/>
        <w:topLinePunct w:val="0"/>
        <w:autoSpaceDE/>
        <w:autoSpaceDN/>
        <w:bidi w:val="0"/>
        <w:adjustRightInd/>
        <w:snapToGrid/>
        <w:spacing w:line="560" w:lineRule="exact"/>
        <w:ind w:firstLine="640" w:firstLineChars="200"/>
        <w:jc w:val="both"/>
        <w:rPr>
          <w:rFonts w:hint="eastAsia" w:ascii="黑体" w:hAnsi="黑体" w:eastAsia="黑体" w:cs="黑体"/>
          <w:b w:val="0"/>
          <w:bCs w:val="0"/>
          <w:color w:val="auto"/>
          <w:kern w:val="2"/>
          <w:sz w:val="32"/>
          <w:szCs w:val="32"/>
        </w:rPr>
      </w:pPr>
      <w:r>
        <w:rPr>
          <w:rFonts w:hint="eastAsia" w:ascii="黑体" w:hAnsi="黑体" w:eastAsia="黑体" w:cs="黑体"/>
          <w:b w:val="0"/>
          <w:bCs w:val="0"/>
          <w:color w:val="auto"/>
          <w:kern w:val="2"/>
          <w:sz w:val="32"/>
          <w:szCs w:val="32"/>
        </w:rPr>
        <w:t>六、其他需要报告的事项</w:t>
      </w:r>
    </w:p>
    <w:p>
      <w:pPr>
        <w:pStyle w:val="6"/>
        <w:widowControl/>
        <w:spacing w:beforeAutospacing="0" w:afterAutospacing="0" w:line="240" w:lineRule="auto"/>
        <w:ind w:firstLine="465"/>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color w:val="auto"/>
          <w:sz w:val="32"/>
          <w:szCs w:val="32"/>
        </w:rPr>
        <w:t>本报告的电子版可以在宁夏气象局政府网站（</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"http://nx.cma.gov.cn/" </w:instrText>
      </w:r>
      <w:r>
        <w:rPr>
          <w:rFonts w:hint="eastAsia" w:ascii="仿宋_GB2312" w:hAnsi="仿宋_GB2312" w:eastAsia="仿宋_GB2312" w:cs="仿宋_GB2312"/>
          <w:color w:val="auto"/>
          <w:sz w:val="32"/>
          <w:szCs w:val="32"/>
        </w:rPr>
        <w:fldChar w:fldCharType="separate"/>
      </w:r>
      <w:r>
        <w:rPr>
          <w:rStyle w:val="10"/>
          <w:rFonts w:hint="eastAsia" w:ascii="仿宋_GB2312" w:hAnsi="仿宋_GB2312" w:eastAsia="仿宋_GB2312" w:cs="仿宋_GB2312"/>
          <w:color w:val="auto"/>
          <w:sz w:val="32"/>
          <w:szCs w:val="32"/>
        </w:rPr>
        <w:t>http://nx.cma.gov.cn/</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）下载。如对本年度报告有任何疑问，请与宁夏气象局办公室联系（地址：</w:t>
      </w:r>
      <w:r>
        <w:rPr>
          <w:rFonts w:hint="eastAsia" w:ascii="仿宋_GB2312" w:hAnsi="仿宋_GB2312" w:eastAsia="仿宋_GB2312" w:cs="仿宋_GB2312"/>
          <w:color w:val="auto"/>
          <w:sz w:val="32"/>
          <w:szCs w:val="32"/>
          <w:lang w:val="en-US" w:eastAsia="zh-CN"/>
        </w:rPr>
        <w:t>宁</w:t>
      </w:r>
      <w:bookmarkStart w:id="0" w:name="_GoBack"/>
      <w:bookmarkEnd w:id="0"/>
      <w:r>
        <w:rPr>
          <w:rFonts w:hint="eastAsia" w:ascii="仿宋_GB2312" w:hAnsi="仿宋_GB2312" w:eastAsia="仿宋_GB2312" w:cs="仿宋_GB2312"/>
          <w:color w:val="auto"/>
          <w:sz w:val="32"/>
          <w:szCs w:val="32"/>
          <w:lang w:val="en-US" w:eastAsia="zh-CN"/>
        </w:rPr>
        <w:t>夏</w:t>
      </w:r>
      <w:r>
        <w:rPr>
          <w:rFonts w:hint="eastAsia" w:ascii="仿宋_GB2312" w:hAnsi="仿宋_GB2312" w:eastAsia="仿宋_GB2312" w:cs="仿宋_GB2312"/>
          <w:color w:val="auto"/>
          <w:sz w:val="32"/>
          <w:szCs w:val="32"/>
        </w:rPr>
        <w:t>银川市金凤区新昌西路71号；邮编：750001；联系电话：0951-50298</w:t>
      </w:r>
      <w:r>
        <w:rPr>
          <w:rFonts w:hint="eastAsia" w:ascii="仿宋_GB2312" w:hAnsi="仿宋_GB2312" w:eastAsia="仿宋_GB2312" w:cs="仿宋_GB2312"/>
          <w:color w:val="auto"/>
          <w:sz w:val="32"/>
          <w:szCs w:val="32"/>
          <w:lang w:val="en-US" w:eastAsia="zh-CN"/>
        </w:rPr>
        <w:t>25</w:t>
      </w:r>
      <w:r>
        <w:rPr>
          <w:rFonts w:hint="eastAsia" w:ascii="仿宋_GB2312" w:hAnsi="仿宋_GB2312" w:eastAsia="仿宋_GB2312" w:cs="仿宋_GB2312"/>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480" w:firstLineChars="200"/>
        <w:jc w:val="both"/>
        <w:rPr>
          <w:rFonts w:hint="eastAsia" w:ascii="宋体" w:hAnsi="宋体" w:eastAsia="宋体" w:cs="宋体"/>
          <w:kern w:val="0"/>
          <w:sz w:val="24"/>
          <w:szCs w:val="24"/>
          <w:lang w:eastAsia="zh-CN"/>
        </w:rPr>
      </w:pP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4"/>
                          </w:pPr>
                          <w:r>
                            <w:t xml:space="preserve">— </w:t>
                          </w:r>
                          <w:r>
                            <w:fldChar w:fldCharType="begin"/>
                          </w:r>
                          <w:r>
                            <w:instrText xml:space="preserve"> PAGE  \* MERGEFORMAT </w:instrText>
                          </w:r>
                          <w:r>
                            <w:fldChar w:fldCharType="separate"/>
                          </w:r>
                          <w:r>
                            <w:t>1</w:t>
                          </w:r>
                          <w:r>
                            <w:fldChar w:fldCharType="end"/>
                          </w:r>
                          <w:r>
                            <w:t xml:space="preserve"> —</w:t>
                          </w:r>
                        </w:p>
                      </w:txbxContent>
                    </wps:txbx>
                    <wps:bodyPr vert="horz" wrap="none" lIns="0" tIns="0" rIns="0" bIns="0" anchor="t" upright="1">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skYo+NIBAACeAwAADgAAAAAAAAABACAAAAAfAQAA&#10;ZHJzL2Uyb0RvYy54bWxQSwUGAAAAAAYABgBZAQAAYwUAAAAA&#10;">
              <v:fill on="f" focussize="0,0"/>
              <v:stroke on="f"/>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1</w:t>
                    </w:r>
                    <w:r>
                      <w:fldChar w:fldCharType="end"/>
                    </w:r>
                    <w:r>
                      <w:t xml:space="preserve"> —</w:t>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7"/>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jZjIxZjBiODcyNTM2NWFmNDA1ODM5MzBlMjU2ZDMifQ=="/>
  </w:docVars>
  <w:rsids>
    <w:rsidRoot w:val="00000000"/>
    <w:rsid w:val="04F931C2"/>
    <w:rsid w:val="07267E44"/>
    <w:rsid w:val="0CA62B7B"/>
    <w:rsid w:val="0D2F788C"/>
    <w:rsid w:val="108D4A90"/>
    <w:rsid w:val="13B40490"/>
    <w:rsid w:val="18F1353A"/>
    <w:rsid w:val="198B293D"/>
    <w:rsid w:val="46A25D14"/>
    <w:rsid w:val="5B39125F"/>
    <w:rsid w:val="5C692DBB"/>
    <w:rsid w:val="6008725C"/>
    <w:rsid w:val="62CA7D2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autoRedefine/>
    <w:qFormat/>
    <w:uiPriority w:val="0"/>
    <w:pPr>
      <w:keepNext/>
      <w:keepLines/>
      <w:spacing w:before="340" w:after="330" w:line="578" w:lineRule="atLeast"/>
      <w:outlineLvl w:val="0"/>
    </w:pPr>
    <w:rPr>
      <w:b/>
      <w:bCs/>
      <w:kern w:val="44"/>
      <w:sz w:val="44"/>
      <w:szCs w:val="44"/>
    </w:rPr>
  </w:style>
  <w:style w:type="character" w:default="1" w:styleId="8">
    <w:name w:val="Default Paragraph Font"/>
    <w:autoRedefine/>
    <w:qFormat/>
    <w:uiPriority w:val="1"/>
  </w:style>
  <w:style w:type="table" w:default="1" w:styleId="7">
    <w:name w:val="Normal Table"/>
    <w:autoRedefine/>
    <w:qFormat/>
    <w:uiPriority w:val="99"/>
    <w:tblPr>
      <w:tblCellMar>
        <w:top w:w="0" w:type="dxa"/>
        <w:left w:w="108" w:type="dxa"/>
        <w:bottom w:w="0" w:type="dxa"/>
        <w:right w:w="108" w:type="dxa"/>
      </w:tblCellMar>
    </w:tblPr>
  </w:style>
  <w:style w:type="paragraph" w:styleId="3">
    <w:name w:val="Normal Indent"/>
    <w:basedOn w:val="1"/>
    <w:autoRedefine/>
    <w:qFormat/>
    <w:uiPriority w:val="99"/>
    <w:pPr>
      <w:ind w:firstLine="420" w:firstLineChars="200"/>
    </w:pPr>
  </w:style>
  <w:style w:type="paragraph" w:styleId="4">
    <w:name w:val="footer"/>
    <w:basedOn w:val="1"/>
    <w:autoRedefine/>
    <w:qFormat/>
    <w:uiPriority w:val="99"/>
    <w:pPr>
      <w:tabs>
        <w:tab w:val="center" w:pos="4153"/>
        <w:tab w:val="right" w:pos="8306"/>
      </w:tabs>
      <w:snapToGrid w:val="0"/>
      <w:jc w:val="left"/>
    </w:pPr>
    <w:rPr>
      <w:sz w:val="18"/>
    </w:rPr>
  </w:style>
  <w:style w:type="paragraph" w:styleId="5">
    <w:name w:val="header"/>
    <w:basedOn w:val="1"/>
    <w:autoRedefine/>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page number"/>
    <w:basedOn w:val="8"/>
    <w:uiPriority w:val="0"/>
  </w:style>
  <w:style w:type="character" w:styleId="10">
    <w:name w:val="Hyperlink"/>
    <w:uiPriority w:val="0"/>
    <w:rPr>
      <w:color w:val="0000FF"/>
      <w:u w:val="none"/>
    </w:rPr>
  </w:style>
  <w:style w:type="character" w:customStyle="1" w:styleId="11">
    <w:name w:val="font01"/>
    <w:basedOn w:val="8"/>
    <w:autoRedefine/>
    <w:qFormat/>
    <w:uiPriority w:val="0"/>
    <w:rPr>
      <w:rFonts w:hint="eastAsia" w:ascii="宋体" w:hAnsi="宋体" w:eastAsia="宋体" w:cs="宋体"/>
      <w:color w:val="000000"/>
      <w:sz w:val="20"/>
      <w:szCs w:val="20"/>
      <w:u w:val="none"/>
    </w:rPr>
  </w:style>
  <w:style w:type="character" w:customStyle="1" w:styleId="12">
    <w:name w:val="font31"/>
    <w:basedOn w:val="8"/>
    <w:autoRedefine/>
    <w:qFormat/>
    <w:uiPriority w:val="0"/>
    <w:rPr>
      <w:rFonts w:hint="eastAsia" w:ascii="楷体" w:hAnsi="楷体" w:eastAsia="楷体" w:cs="楷体"/>
      <w:color w:val="000000"/>
      <w:sz w:val="20"/>
      <w:szCs w:val="20"/>
      <w:u w:val="none"/>
    </w:rPr>
  </w:style>
  <w:style w:type="paragraph" w:customStyle="1" w:styleId="13">
    <w:name w:val="Char Char Char Char Char Char Char Char Char1 Char Char Char Char Char Char Char Char Char Char Char Char Char Char Char Char Char Char Char Char Char Char"/>
    <w:basedOn w:val="2"/>
    <w:autoRedefine/>
    <w:qFormat/>
    <w:uiPriority w:val="0"/>
    <w:pPr>
      <w:snapToGrid w:val="0"/>
      <w:spacing w:before="240" w:after="240" w:line="348" w:lineRule="auto"/>
    </w:pPr>
    <w:rPr>
      <w:rFonts w:ascii="Tahoma" w:hAnsi="Tahoma" w:eastAsia="宋体"/>
      <w:bCs w:val="0"/>
      <w:kern w:val="2"/>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4</Pages>
  <Words>1988</Words>
  <Characters>2037</Characters>
  <Paragraphs>418</Paragraphs>
  <TotalTime>138</TotalTime>
  <ScaleCrop>false</ScaleCrop>
  <LinksUpToDate>false</LinksUpToDate>
  <CharactersWithSpaces>2040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2021-10-27T09:55:00Z</dcterms:created>
  <dc:creator>李小平</dc:creator>
  <cp:lastModifiedBy>杨婧</cp:lastModifiedBy>
  <dcterms:modified xsi:type="dcterms:W3CDTF">2024-01-16T06:27:39Z</dcterms:modified>
  <dc:title>国务院办公厅政府信息与政务公开办公室</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63BCE02BFDAA4397B62AE13E657FC744</vt:lpwstr>
  </property>
</Properties>
</file>