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0"/>
          <w:sz w:val="44"/>
          <w:szCs w:val="44"/>
          <w:lang w:eastAsia="zh-CN"/>
        </w:rPr>
      </w:pPr>
      <w:r>
        <w:rPr>
          <w:rFonts w:hint="eastAsia" w:ascii="方正小标宋简体" w:hAnsi="方正小标宋简体" w:eastAsia="方正小标宋简体" w:cs="方正小标宋简体"/>
          <w:b w:val="0"/>
          <w:bCs w:val="0"/>
          <w:i w:val="0"/>
          <w:iCs w:val="0"/>
          <w:caps w:val="0"/>
          <w:spacing w:val="0"/>
          <w:sz w:val="44"/>
          <w:szCs w:val="44"/>
          <w:lang w:val="en-US" w:eastAsia="zh-CN"/>
        </w:rPr>
        <w:t>中卫市</w:t>
      </w:r>
      <w:r>
        <w:rPr>
          <w:rFonts w:hint="eastAsia" w:ascii="方正小标宋简体" w:hAnsi="方正小标宋简体" w:eastAsia="方正小标宋简体" w:cs="方正小标宋简体"/>
          <w:b w:val="0"/>
          <w:bCs w:val="0"/>
          <w:i w:val="0"/>
          <w:iCs w:val="0"/>
          <w:caps w:val="0"/>
          <w:spacing w:val="0"/>
          <w:sz w:val="44"/>
          <w:szCs w:val="44"/>
        </w:rPr>
        <w:t>气象局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i w:val="0"/>
          <w:iCs w:val="0"/>
          <w:caps w:val="0"/>
          <w:spacing w:val="0"/>
          <w:sz w:val="44"/>
          <w:szCs w:val="44"/>
        </w:rPr>
        <w:t>2023年政府信息公开工作年度报告</w:t>
      </w:r>
    </w:p>
    <w:p>
      <w:pPr>
        <w:pStyle w:val="5"/>
        <w:keepNext w:val="0"/>
        <w:keepLines w:val="0"/>
        <w:widowControl/>
        <w:suppressLineNumbers w:val="0"/>
        <w:spacing w:before="0" w:beforeAutospacing="0" w:after="0" w:afterAutospacing="0" w:line="480" w:lineRule="atLeast"/>
        <w:ind w:left="0" w:right="0" w:firstLine="480" w:firstLineChars="200"/>
        <w:jc w:val="left"/>
        <w:rPr>
          <w:rFonts w:hint="eastAsia" w:ascii="宋体" w:hAnsi="宋体" w:eastAsia="宋体" w:cs="宋体"/>
          <w:kern w:val="0"/>
          <w:sz w:val="24"/>
          <w:szCs w:val="24"/>
        </w:rPr>
      </w:pPr>
    </w:p>
    <w:p>
      <w:pPr>
        <w:pStyle w:val="5"/>
        <w:keepNext w:val="0"/>
        <w:keepLines w:val="0"/>
        <w:widowControl/>
        <w:suppressLineNumbers w:val="0"/>
        <w:spacing w:before="0" w:beforeAutospacing="0" w:after="0" w:afterAutospacing="0" w:line="240" w:lineRule="auto"/>
        <w:ind w:left="0" w:right="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本报告根据《中华人民共和国政府信息公开条例》《气象部门政府信息公开办法》的要求编制。所列数据的统计期限自2023年1月1日起至2023年12月31日止。</w:t>
      </w:r>
    </w:p>
    <w:p>
      <w:pPr>
        <w:widowControl/>
        <w:numPr>
          <w:ilvl w:val="0"/>
          <w:numId w:val="0"/>
        </w:numPr>
        <w:shd w:val="clear" w:color="auto" w:fill="auto"/>
        <w:spacing w:beforeLines="0" w:afterLines="0" w:line="360" w:lineRule="auto"/>
        <w:ind w:firstLine="640" w:firstLineChars="200"/>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一、总体情况</w:t>
      </w:r>
    </w:p>
    <w:p>
      <w:pPr>
        <w:pStyle w:val="5"/>
        <w:keepNext w:val="0"/>
        <w:keepLines w:val="0"/>
        <w:widowControl/>
        <w:suppressLineNumbers w:val="0"/>
        <w:spacing w:before="0" w:beforeAutospacing="0" w:after="0" w:afterAutospacing="0" w:line="240" w:lineRule="auto"/>
        <w:ind w:left="0" w:right="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中卫市气象局政务信息公开工作坚持以习近平新时代中国特色社会主义思想为指导，以习近平总书记关于气象工作重要指示和视察宁夏重要讲话精神为根本遵循，认真学习宣传贯彻党的二十大精神，全面贯彻落实《气象高质量发展纲要（2022—2035年）》，坚持以公开为常态、不公开为例外，进一步强化组织领导，狠抓工作落实，加大主动公开力度，认真做好依申请公开，深化政策解读、回应公众关切等工作，不断提升政府信息公开工作的质量和实效。</w:t>
      </w:r>
    </w:p>
    <w:p>
      <w:pPr>
        <w:pStyle w:val="5"/>
        <w:keepNext w:val="0"/>
        <w:keepLines w:val="0"/>
        <w:widowControl/>
        <w:suppressLineNumbers w:val="0"/>
        <w:spacing w:before="0" w:beforeAutospacing="0" w:after="0" w:afterAutospacing="0" w:line="240" w:lineRule="auto"/>
        <w:ind w:left="0" w:right="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严格落实主动公开。2023年，中卫市气象局通过宁夏气象局门户网站公开机关职能、部门领导、机构设置、联系方式等信息。中卫市气象局本级全年在宁夏“双随机、一公开”综合监管平台公开行政审批34条；在中卫市人民政府网、“中卫气象”微信公众号、微博发布预警信息133条，短临预报1条，消息预报14条。海原县气象局全年在宁夏政务服务事项管理系统公开审批事项3条；在海原网、海原TV、海原气象微博等平台发布预警信息175条，短临预报 4条。中宁县气象局全年在宁夏“双随机、一公开”综合监管平台公开行政审批13条，在中宁县人民政府网发布预警信息123条、“宁夏枸杞气象服务中心”微信公众号174条，短临预报2条。沙坡头区气象局通过微博等平台发布预警信息175条。（全市共主动公开预警信号共计654条，其中中卫市气象局本级133 条，沙坡头区气象局158条，中宁县气象局191条，海原县气象局 172条）。</w:t>
      </w:r>
    </w:p>
    <w:p>
      <w:pPr>
        <w:pStyle w:val="5"/>
        <w:keepNext w:val="0"/>
        <w:keepLines w:val="0"/>
        <w:widowControl/>
        <w:suppressLineNumbers w:val="0"/>
        <w:spacing w:before="0" w:beforeAutospacing="0" w:after="0" w:afterAutospacing="0" w:line="240" w:lineRule="auto"/>
        <w:ind w:left="0" w:right="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（二）认真做好依申请公开。按照宁夏气象局政府信息公开规范化要求，进一步规范依申请公开工作。在中卫市政府网设立气象信息专栏，保障公民、法人和其他组织获取气象部门政府信息的权益。</w:t>
      </w:r>
    </w:p>
    <w:p>
      <w:pPr>
        <w:pStyle w:val="5"/>
        <w:keepNext w:val="0"/>
        <w:keepLines w:val="0"/>
        <w:widowControl/>
        <w:suppressLineNumbers w:val="0"/>
        <w:spacing w:before="0" w:beforeAutospacing="0" w:after="0" w:afterAutospacing="0" w:line="240" w:lineRule="auto"/>
        <w:ind w:left="0" w:right="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深入加强监督保障。加强组织管理，市局办公室为政府信息公开归口管理部门，安排专人负责政府网站政府信息公开工作，信息发布前所有信息均要进行保密审查和准确性审核，确保政府信息公开工作的安全准确。</w:t>
      </w:r>
    </w:p>
    <w:p>
      <w:pPr>
        <w:widowControl/>
        <w:numPr>
          <w:ilvl w:val="0"/>
          <w:numId w:val="0"/>
        </w:numPr>
        <w:shd w:val="clear" w:color="auto" w:fill="auto"/>
        <w:spacing w:beforeLines="0" w:afterLines="0" w:line="360" w:lineRule="auto"/>
        <w:ind w:firstLine="640" w:firstLineChars="200"/>
        <w:rPr>
          <w:rFonts w:hint="eastAsia" w:ascii="黑体" w:hAnsi="黑体" w:eastAsia="黑体" w:cs="黑体"/>
          <w:b w:val="0"/>
          <w:bCs w:val="0"/>
          <w:color w:val="auto"/>
          <w:kern w:val="2"/>
          <w:sz w:val="32"/>
          <w:szCs w:val="32"/>
          <w:lang w:eastAsia="zh-CN"/>
        </w:rPr>
      </w:pPr>
      <w:r>
        <w:rPr>
          <w:rFonts w:hint="eastAsia" w:ascii="黑体" w:hAnsi="黑体" w:eastAsia="黑体" w:cs="黑体"/>
          <w:b w:val="0"/>
          <w:bCs w:val="0"/>
          <w:color w:val="auto"/>
          <w:kern w:val="2"/>
          <w:sz w:val="32"/>
          <w:szCs w:val="32"/>
        </w:rPr>
        <w:t>二、主动公开政府信息情况</w:t>
      </w:r>
      <w:r>
        <w:rPr>
          <w:rFonts w:hint="eastAsia" w:ascii="黑体" w:hAnsi="黑体" w:eastAsia="黑体" w:cs="黑体"/>
          <w:b w:val="0"/>
          <w:bCs w:val="0"/>
          <w:color w:val="auto"/>
          <w:kern w:val="2"/>
          <w:sz w:val="32"/>
          <w:szCs w:val="32"/>
          <w:lang w:eastAsia="zh-CN"/>
        </w:rPr>
        <w:t>（</w:t>
      </w:r>
      <w:r>
        <w:rPr>
          <w:rFonts w:hint="eastAsia" w:ascii="黑体" w:hAnsi="黑体" w:eastAsia="黑体" w:cs="黑体"/>
          <w:b w:val="0"/>
          <w:bCs w:val="0"/>
          <w:color w:val="auto"/>
          <w:kern w:val="2"/>
          <w:sz w:val="32"/>
          <w:szCs w:val="32"/>
          <w:lang w:val="en-US" w:eastAsia="zh-CN"/>
        </w:rPr>
        <w:t>空代表无</w:t>
      </w:r>
      <w:r>
        <w:rPr>
          <w:rFonts w:hint="eastAsia" w:ascii="黑体" w:hAnsi="黑体" w:eastAsia="黑体" w:cs="黑体"/>
          <w:b w:val="0"/>
          <w:bCs w:val="0"/>
          <w:color w:val="auto"/>
          <w:kern w:val="2"/>
          <w:sz w:val="32"/>
          <w:szCs w:val="32"/>
          <w:lang w:eastAsia="zh-CN"/>
        </w:rPr>
        <w:t>）</w:t>
      </w:r>
    </w:p>
    <w:tbl>
      <w:tblPr>
        <w:tblStyle w:val="6"/>
        <w:tblW w:w="8263"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13"/>
        <w:gridCol w:w="1902"/>
        <w:gridCol w:w="2121"/>
        <w:gridCol w:w="16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63" w:type="dxa"/>
            <w:gridSpan w:val="4"/>
            <w:tcBorders>
              <w:top w:val="single" w:color="000000" w:sz="8" w:space="0"/>
              <w:left w:val="single" w:color="000000" w:sz="8" w:space="0"/>
              <w:bottom w:val="single" w:color="000000" w:sz="8" w:space="0"/>
              <w:right w:val="single" w:color="000000" w:sz="8" w:space="0"/>
            </w:tcBorders>
            <w:shd w:val="clear" w:color="auto" w:fill="C6D9F1"/>
            <w:vAlign w:val="center"/>
          </w:tcPr>
          <w:p>
            <w:pPr>
              <w:keepNext w:val="0"/>
              <w:keepLines w:val="0"/>
              <w:widowControl/>
              <w:suppressLineNumbers w:val="0"/>
              <w:jc w:val="center"/>
              <w:textAlignment w:val="center"/>
              <w:rPr>
                <w:rFonts w:ascii="方正黑体_GBK" w:hAnsi="方正黑体_GBK" w:eastAsia="方正黑体_GBK" w:cs="方正黑体_GBK"/>
                <w:i w:val="0"/>
                <w:iCs w:val="0"/>
                <w:color w:val="000000"/>
                <w:sz w:val="24"/>
                <w:szCs w:val="24"/>
                <w:u w:val="none"/>
              </w:rPr>
            </w:pPr>
            <w:r>
              <w:rPr>
                <w:rFonts w:hint="default" w:ascii="方正黑体_GBK" w:hAnsi="方正黑体_GBK" w:eastAsia="方正黑体_GBK" w:cs="方正黑体_GBK"/>
                <w:i w:val="0"/>
                <w:iCs w:val="0"/>
                <w:color w:val="000000"/>
                <w:kern w:val="0"/>
                <w:sz w:val="24"/>
                <w:szCs w:val="24"/>
                <w:u w:val="none"/>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信息内容</w:t>
            </w:r>
          </w:p>
        </w:tc>
        <w:tc>
          <w:tcPr>
            <w:tcW w:w="190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13"/>
                <w:lang w:val="en-US" w:eastAsia="zh-CN" w:bidi="ar"/>
              </w:rPr>
              <w:t>本年</w:t>
            </w:r>
            <w:r>
              <w:rPr>
                <w:rStyle w:val="14"/>
                <w:lang w:val="en-US" w:eastAsia="zh-CN" w:bidi="ar"/>
              </w:rPr>
              <w:t>制发件数</w:t>
            </w:r>
          </w:p>
        </w:tc>
        <w:tc>
          <w:tcPr>
            <w:tcW w:w="212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本年废止件数</w:t>
            </w:r>
          </w:p>
        </w:tc>
        <w:tc>
          <w:tcPr>
            <w:tcW w:w="162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13"/>
                <w:lang w:val="en-US" w:eastAsia="zh-CN" w:bidi="ar"/>
              </w:rPr>
              <w:t>现行有效件</w:t>
            </w:r>
            <w:r>
              <w:rPr>
                <w:rStyle w:val="14"/>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规章</w:t>
            </w:r>
          </w:p>
        </w:tc>
        <w:tc>
          <w:tcPr>
            <w:tcW w:w="19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楷体_GB2312" w:hAnsi="宋体" w:eastAsia="楷体_GB2312" w:cs="楷体_GB2312"/>
                <w:i w:val="0"/>
                <w:iCs w:val="0"/>
                <w:color w:val="000000"/>
                <w:sz w:val="20"/>
                <w:szCs w:val="20"/>
                <w:u w:val="none"/>
              </w:rPr>
            </w:pPr>
          </w:p>
        </w:tc>
        <w:tc>
          <w:tcPr>
            <w:tcW w:w="212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0"/>
                <w:szCs w:val="20"/>
                <w:u w:val="none"/>
              </w:rPr>
            </w:pPr>
          </w:p>
        </w:tc>
        <w:tc>
          <w:tcPr>
            <w:tcW w:w="162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行政规范性文件</w:t>
            </w:r>
          </w:p>
        </w:tc>
        <w:tc>
          <w:tcPr>
            <w:tcW w:w="190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0"/>
                <w:szCs w:val="20"/>
                <w:u w:val="none"/>
              </w:rPr>
            </w:pPr>
          </w:p>
        </w:tc>
        <w:tc>
          <w:tcPr>
            <w:tcW w:w="212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0"/>
                <w:szCs w:val="20"/>
                <w:u w:val="none"/>
              </w:rPr>
            </w:pPr>
          </w:p>
        </w:tc>
        <w:tc>
          <w:tcPr>
            <w:tcW w:w="162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63" w:type="dxa"/>
            <w:gridSpan w:val="4"/>
            <w:tcBorders>
              <w:top w:val="nil"/>
              <w:left w:val="single" w:color="000000" w:sz="8" w:space="0"/>
              <w:bottom w:val="single" w:color="000000" w:sz="8" w:space="0"/>
              <w:right w:val="single" w:color="000000" w:sz="8" w:space="0"/>
            </w:tcBorders>
            <w:shd w:val="clear" w:color="auto" w:fill="C6D9F1"/>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24"/>
                <w:szCs w:val="24"/>
                <w:u w:val="none"/>
              </w:rPr>
            </w:pPr>
            <w:r>
              <w:rPr>
                <w:rFonts w:hint="default" w:ascii="方正黑体_GBK" w:hAnsi="方正黑体_GBK" w:eastAsia="方正黑体_GBK" w:cs="方正黑体_GBK"/>
                <w:i w:val="0"/>
                <w:iCs w:val="0"/>
                <w:color w:val="000000"/>
                <w:kern w:val="0"/>
                <w:sz w:val="24"/>
                <w:szCs w:val="24"/>
                <w:u w:val="none"/>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信息内容</w:t>
            </w:r>
          </w:p>
        </w:tc>
        <w:tc>
          <w:tcPr>
            <w:tcW w:w="5650" w:type="dxa"/>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行政许可</w:t>
            </w:r>
          </w:p>
        </w:tc>
        <w:tc>
          <w:tcPr>
            <w:tcW w:w="5650" w:type="dxa"/>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楷体_GB2312" w:hAnsi="宋体" w:eastAsia="楷体_GB2312" w:cs="楷体_GB2312"/>
                <w:i w:val="0"/>
                <w:iCs w:val="0"/>
                <w:color w:val="000000"/>
                <w:sz w:val="20"/>
                <w:szCs w:val="20"/>
                <w:u w:val="none"/>
                <w:lang w:val="en-US"/>
              </w:rPr>
            </w:pPr>
            <w:r>
              <w:rPr>
                <w:rFonts w:hint="eastAsia" w:ascii="楷体_GB2312" w:hAnsi="宋体" w:eastAsia="楷体_GB2312" w:cs="楷体_GB2312"/>
                <w:i w:val="0"/>
                <w:iCs w:val="0"/>
                <w:color w:val="000000"/>
                <w:kern w:val="0"/>
                <w:sz w:val="20"/>
                <w:szCs w:val="20"/>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63" w:type="dxa"/>
            <w:gridSpan w:val="4"/>
            <w:tcBorders>
              <w:top w:val="nil"/>
              <w:left w:val="single" w:color="000000" w:sz="8" w:space="0"/>
              <w:bottom w:val="single" w:color="000000" w:sz="8" w:space="0"/>
              <w:right w:val="single" w:color="000000" w:sz="8" w:space="0"/>
            </w:tcBorders>
            <w:shd w:val="clear" w:color="auto" w:fill="C6D9F1"/>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24"/>
                <w:szCs w:val="24"/>
                <w:u w:val="none"/>
              </w:rPr>
            </w:pPr>
            <w:r>
              <w:rPr>
                <w:rFonts w:hint="default" w:ascii="方正黑体_GBK" w:hAnsi="方正黑体_GBK" w:eastAsia="方正黑体_GBK" w:cs="方正黑体_GBK"/>
                <w:i w:val="0"/>
                <w:iCs w:val="0"/>
                <w:color w:val="000000"/>
                <w:kern w:val="0"/>
                <w:sz w:val="24"/>
                <w:szCs w:val="24"/>
                <w:u w:val="none"/>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信息内容</w:t>
            </w:r>
          </w:p>
        </w:tc>
        <w:tc>
          <w:tcPr>
            <w:tcW w:w="5650" w:type="dxa"/>
            <w:gridSpan w:val="3"/>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行政处罚</w:t>
            </w:r>
          </w:p>
        </w:tc>
        <w:tc>
          <w:tcPr>
            <w:tcW w:w="5650" w:type="dxa"/>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613"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行政强制</w:t>
            </w:r>
          </w:p>
        </w:tc>
        <w:tc>
          <w:tcPr>
            <w:tcW w:w="5650" w:type="dxa"/>
            <w:gridSpan w:val="3"/>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613"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5650" w:type="dxa"/>
            <w:gridSpan w:val="3"/>
            <w:vMerge w:val="continue"/>
            <w:tcBorders>
              <w:top w:val="nil"/>
              <w:left w:val="nil"/>
              <w:bottom w:val="single" w:color="000000" w:sz="8" w:space="0"/>
              <w:right w:val="single" w:color="000000" w:sz="8" w:space="0"/>
            </w:tcBorders>
            <w:shd w:val="clear" w:color="auto" w:fill="auto"/>
            <w:vAlign w:val="center"/>
          </w:tcPr>
          <w:p>
            <w:pPr>
              <w:jc w:val="center"/>
              <w:rPr>
                <w:rFonts w:hint="eastAsia" w:ascii="楷体_GB2312" w:hAnsi="宋体" w:eastAsia="楷体_GB2312" w:cs="楷体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63" w:type="dxa"/>
            <w:gridSpan w:val="4"/>
            <w:tcBorders>
              <w:top w:val="nil"/>
              <w:left w:val="single" w:color="000000" w:sz="8" w:space="0"/>
              <w:bottom w:val="single" w:color="000000" w:sz="8" w:space="0"/>
              <w:right w:val="single" w:color="000000" w:sz="8" w:space="0"/>
            </w:tcBorders>
            <w:shd w:val="clear" w:color="auto" w:fill="C6D9F1"/>
            <w:vAlign w:val="center"/>
          </w:tcPr>
          <w:p>
            <w:pPr>
              <w:keepNext w:val="0"/>
              <w:keepLines w:val="0"/>
              <w:widowControl/>
              <w:suppressLineNumbers w:val="0"/>
              <w:jc w:val="center"/>
              <w:textAlignment w:val="center"/>
              <w:rPr>
                <w:rFonts w:hint="default" w:ascii="方正黑体_GBK" w:hAnsi="方正黑体_GBK" w:eastAsia="方正黑体_GBK" w:cs="方正黑体_GBK"/>
                <w:i w:val="0"/>
                <w:iCs w:val="0"/>
                <w:color w:val="000000"/>
                <w:sz w:val="24"/>
                <w:szCs w:val="24"/>
                <w:u w:val="none"/>
              </w:rPr>
            </w:pPr>
            <w:r>
              <w:rPr>
                <w:rFonts w:hint="default" w:ascii="方正黑体_GBK" w:hAnsi="方正黑体_GBK" w:eastAsia="方正黑体_GBK" w:cs="方正黑体_GBK"/>
                <w:i w:val="0"/>
                <w:iCs w:val="0"/>
                <w:color w:val="000000"/>
                <w:kern w:val="0"/>
                <w:sz w:val="24"/>
                <w:szCs w:val="24"/>
                <w:u w:val="none"/>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信息内容</w:t>
            </w:r>
          </w:p>
        </w:tc>
        <w:tc>
          <w:tcPr>
            <w:tcW w:w="5650" w:type="dxa"/>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6" w:hRule="atLeast"/>
        </w:trPr>
        <w:tc>
          <w:tcPr>
            <w:tcW w:w="261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行政事业性收费</w:t>
            </w:r>
          </w:p>
        </w:tc>
        <w:tc>
          <w:tcPr>
            <w:tcW w:w="5650" w:type="dxa"/>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0"/>
                <w:szCs w:val="20"/>
                <w:u w:val="none"/>
              </w:rPr>
            </w:pPr>
          </w:p>
        </w:tc>
      </w:tr>
    </w:tbl>
    <w:p>
      <w:pPr>
        <w:widowControl/>
        <w:jc w:val="left"/>
        <w:rPr>
          <w:rFonts w:hint="eastAsia" w:ascii="宋体" w:hAnsi="宋体" w:eastAsia="宋体" w:cs="宋体"/>
          <w:color w:val="333333"/>
          <w:kern w:val="0"/>
          <w:sz w:val="24"/>
          <w:szCs w:val="24"/>
          <w:lang w:eastAsia="zh-CN"/>
        </w:rPr>
      </w:pPr>
    </w:p>
    <w:p>
      <w:pPr>
        <w:widowControl/>
        <w:numPr>
          <w:ilvl w:val="0"/>
          <w:numId w:val="0"/>
        </w:numPr>
        <w:shd w:val="clear" w:color="auto" w:fill="auto"/>
        <w:spacing w:beforeLines="0" w:afterLines="0" w:line="360" w:lineRule="auto"/>
        <w:ind w:firstLine="640" w:firstLineChars="200"/>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lang w:eastAsia="zh-CN"/>
        </w:rPr>
        <w:t>三、</w:t>
      </w:r>
      <w:r>
        <w:rPr>
          <w:rFonts w:hint="eastAsia" w:ascii="黑体" w:hAnsi="黑体" w:eastAsia="黑体" w:cs="黑体"/>
          <w:b w:val="0"/>
          <w:bCs w:val="0"/>
          <w:color w:val="auto"/>
          <w:kern w:val="2"/>
          <w:sz w:val="32"/>
          <w:szCs w:val="32"/>
        </w:rPr>
        <w:t>收到和处理政府信息公开申请情况</w:t>
      </w:r>
    </w:p>
    <w:tbl>
      <w:tblPr>
        <w:tblStyle w:val="6"/>
        <w:tblW w:w="831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13"/>
        <w:gridCol w:w="822"/>
        <w:gridCol w:w="2029"/>
        <w:gridCol w:w="594"/>
        <w:gridCol w:w="594"/>
        <w:gridCol w:w="594"/>
        <w:gridCol w:w="594"/>
        <w:gridCol w:w="594"/>
        <w:gridCol w:w="443"/>
        <w:gridCol w:w="4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4464" w:type="dxa"/>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（本列数据的勾稽关系为：第一项加第二项之和，等于第三项加第四项之和）</w:t>
            </w:r>
          </w:p>
        </w:tc>
        <w:tc>
          <w:tcPr>
            <w:tcW w:w="3855" w:type="dxa"/>
            <w:gridSpan w:val="7"/>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left"/>
              <w:rPr>
                <w:rFonts w:hint="eastAsia" w:ascii="楷体" w:hAnsi="楷体" w:eastAsia="楷体" w:cs="楷体"/>
                <w:i w:val="0"/>
                <w:iCs w:val="0"/>
                <w:color w:val="000000"/>
                <w:sz w:val="20"/>
                <w:szCs w:val="20"/>
                <w:u w:val="none"/>
              </w:rPr>
            </w:pPr>
          </w:p>
        </w:tc>
        <w:tc>
          <w:tcPr>
            <w:tcW w:w="594"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自然人</w:t>
            </w:r>
          </w:p>
        </w:tc>
        <w:tc>
          <w:tcPr>
            <w:tcW w:w="2819" w:type="dxa"/>
            <w:gridSpan w:val="5"/>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法人或其他组织</w:t>
            </w:r>
          </w:p>
        </w:tc>
        <w:tc>
          <w:tcPr>
            <w:tcW w:w="442"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left"/>
              <w:rPr>
                <w:rFonts w:hint="eastAsia" w:ascii="楷体" w:hAnsi="楷体" w:eastAsia="楷体" w:cs="楷体"/>
                <w:i w:val="0"/>
                <w:iCs w:val="0"/>
                <w:color w:val="000000"/>
                <w:sz w:val="20"/>
                <w:szCs w:val="20"/>
                <w:u w:val="none"/>
              </w:rPr>
            </w:pPr>
          </w:p>
        </w:tc>
        <w:tc>
          <w:tcPr>
            <w:tcW w:w="59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4"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商业</w:t>
            </w:r>
          </w:p>
        </w:tc>
        <w:tc>
          <w:tcPr>
            <w:tcW w:w="594"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科研</w:t>
            </w:r>
          </w:p>
        </w:tc>
        <w:tc>
          <w:tcPr>
            <w:tcW w:w="594"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社会公益组织</w:t>
            </w:r>
          </w:p>
        </w:tc>
        <w:tc>
          <w:tcPr>
            <w:tcW w:w="594"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法律服务机构</w:t>
            </w:r>
          </w:p>
        </w:tc>
        <w:tc>
          <w:tcPr>
            <w:tcW w:w="443"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w:t>
            </w:r>
          </w:p>
        </w:tc>
        <w:tc>
          <w:tcPr>
            <w:tcW w:w="44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left"/>
              <w:rPr>
                <w:rFonts w:hint="eastAsia" w:ascii="楷体" w:hAnsi="楷体" w:eastAsia="楷体" w:cs="楷体"/>
                <w:i w:val="0"/>
                <w:iCs w:val="0"/>
                <w:color w:val="000000"/>
                <w:sz w:val="20"/>
                <w:szCs w:val="20"/>
                <w:u w:val="none"/>
              </w:rPr>
            </w:pPr>
          </w:p>
        </w:tc>
        <w:tc>
          <w:tcPr>
            <w:tcW w:w="59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机构</w:t>
            </w:r>
          </w:p>
        </w:tc>
        <w:tc>
          <w:tcPr>
            <w:tcW w:w="59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3"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2"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一、本年新收政府信息公开申请数量</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二、上年结转政府信息公开申请数量</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9" w:hRule="atLeast"/>
        </w:trPr>
        <w:tc>
          <w:tcPr>
            <w:tcW w:w="1613"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三、本年度办理结果</w:t>
            </w:r>
          </w:p>
        </w:tc>
        <w:tc>
          <w:tcPr>
            <w:tcW w:w="2851"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（一）予以公开</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851"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1"/>
                <w:lang w:val="en-US" w:eastAsia="zh-CN" w:bidi="ar"/>
              </w:rPr>
              <w:t>（二）部分公开</w:t>
            </w:r>
            <w:r>
              <w:rPr>
                <w:rStyle w:val="12"/>
                <w:lang w:val="en-US" w:eastAsia="zh-CN" w:bidi="ar"/>
              </w:rPr>
              <w:t>（区分处理的，只计这一情形，不计其他情形）</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（三）不予公开</w:t>
            </w: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1.属于国家秘密</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2.其他法律行政法规禁止公开</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3.危及“三安全一稳定”</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4.保护第三方合法权益</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5.属于三类内部事务信息</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6.属于四类过程性信息</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7.属于行政执法案卷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8.属于行政查询事项</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（四）无法提供</w:t>
            </w: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1.本机关不掌握相关政府信息</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2.没有现成信息需要另行制作</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3.补正后申请内容仍不明确</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（五）不予处理</w:t>
            </w: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1.信访举报投诉类申请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2.重复申请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3.要求提供公开出版物</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4.无正当理由大量反复申请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5.要求行政机关确认或重新出具已获取信息</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（六）其他处理</w:t>
            </w: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1.申请人无正当理由逾期不补正、行政机关不再处理其政府信息公开申请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2.申请人逾期未按收费通知要求缴纳费用、行政机关不再处理其政府信息公开申请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851"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（七）总计</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四、结转下年度继续办理</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p>
        </w:tc>
      </w:tr>
    </w:tbl>
    <w:p>
      <w:pPr>
        <w:widowControl/>
        <w:numPr>
          <w:ilvl w:val="-1"/>
          <w:numId w:val="0"/>
        </w:numPr>
        <w:shd w:val="clear" w:color="auto" w:fill="auto"/>
        <w:ind w:firstLine="0"/>
        <w:rPr>
          <w:rFonts w:hint="eastAsia" w:ascii="宋体" w:hAnsi="宋体" w:eastAsia="宋体" w:cs="宋体"/>
          <w:color w:val="333333"/>
          <w:kern w:val="0"/>
          <w:sz w:val="24"/>
          <w:szCs w:val="24"/>
        </w:rPr>
      </w:pPr>
    </w:p>
    <w:p>
      <w:pPr>
        <w:widowControl/>
        <w:numPr>
          <w:ilvl w:val="0"/>
          <w:numId w:val="0"/>
        </w:numPr>
        <w:shd w:val="clear" w:color="auto" w:fill="auto"/>
        <w:spacing w:beforeLines="0" w:afterLines="0" w:line="360" w:lineRule="auto"/>
        <w:ind w:firstLine="640" w:firstLineChars="200"/>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四、政府信息公开行政复议、行政诉讼情况</w:t>
      </w:r>
    </w:p>
    <w:tbl>
      <w:tblPr>
        <w:tblStyle w:val="6"/>
        <w:tblW w:w="871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6"/>
        <w:gridCol w:w="586"/>
        <w:gridCol w:w="586"/>
        <w:gridCol w:w="586"/>
        <w:gridCol w:w="416"/>
        <w:gridCol w:w="587"/>
        <w:gridCol w:w="587"/>
        <w:gridCol w:w="1016"/>
        <w:gridCol w:w="587"/>
        <w:gridCol w:w="416"/>
        <w:gridCol w:w="587"/>
        <w:gridCol w:w="587"/>
        <w:gridCol w:w="587"/>
        <w:gridCol w:w="588"/>
        <w:gridCol w:w="4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290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行政复议</w:t>
            </w:r>
          </w:p>
        </w:tc>
        <w:tc>
          <w:tcPr>
            <w:tcW w:w="5815" w:type="dxa"/>
            <w:gridSpan w:val="10"/>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634"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结果维持</w:t>
            </w:r>
          </w:p>
        </w:tc>
        <w:tc>
          <w:tcPr>
            <w:tcW w:w="634"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结果纠正</w:t>
            </w:r>
          </w:p>
        </w:tc>
        <w:tc>
          <w:tcPr>
            <w:tcW w:w="634"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其他结果</w:t>
            </w:r>
          </w:p>
        </w:tc>
        <w:tc>
          <w:tcPr>
            <w:tcW w:w="634"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尚未审结</w:t>
            </w:r>
          </w:p>
        </w:tc>
        <w:tc>
          <w:tcPr>
            <w:tcW w:w="368"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c>
          <w:tcPr>
            <w:tcW w:w="2907"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未经复议直接起诉</w:t>
            </w:r>
          </w:p>
        </w:tc>
        <w:tc>
          <w:tcPr>
            <w:tcW w:w="2908"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34"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68"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结果维持</w:t>
            </w:r>
          </w:p>
        </w:tc>
        <w:tc>
          <w:tcPr>
            <w:tcW w:w="63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结果纠正</w:t>
            </w:r>
          </w:p>
        </w:tc>
        <w:tc>
          <w:tcPr>
            <w:tcW w:w="0" w:type="auto"/>
            <w:vMerge w:val="restar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其他结果</w:t>
            </w:r>
          </w:p>
        </w:tc>
        <w:tc>
          <w:tcPr>
            <w:tcW w:w="635"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尚未审结</w:t>
            </w:r>
          </w:p>
        </w:tc>
        <w:tc>
          <w:tcPr>
            <w:tcW w:w="367"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c>
          <w:tcPr>
            <w:tcW w:w="635"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结果维持</w:t>
            </w:r>
          </w:p>
        </w:tc>
        <w:tc>
          <w:tcPr>
            <w:tcW w:w="635"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结果纠正</w:t>
            </w:r>
          </w:p>
        </w:tc>
        <w:tc>
          <w:tcPr>
            <w:tcW w:w="635"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其他结果</w:t>
            </w:r>
          </w:p>
        </w:tc>
        <w:tc>
          <w:tcPr>
            <w:tcW w:w="635"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尚未审结</w:t>
            </w:r>
          </w:p>
        </w:tc>
        <w:tc>
          <w:tcPr>
            <w:tcW w:w="368"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34"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68"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5"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5"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8" w:space="0"/>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3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67"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5"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68"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634"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4"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4"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4"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368"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5"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5"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5"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5"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367"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5"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5"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5"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635"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368"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r>
    </w:tbl>
    <w:p>
      <w:pPr>
        <w:widowControl/>
        <w:ind w:firstLine="480" w:firstLineChars="200"/>
        <w:jc w:val="left"/>
        <w:rPr>
          <w:rFonts w:hint="eastAsia" w:ascii="宋体" w:hAnsi="宋体" w:eastAsia="宋体" w:cs="宋体"/>
          <w:color w:val="333333"/>
          <w:kern w:val="0"/>
          <w:sz w:val="24"/>
          <w:szCs w:val="24"/>
        </w:rPr>
      </w:pPr>
    </w:p>
    <w:p>
      <w:pPr>
        <w:widowControl/>
        <w:numPr>
          <w:ilvl w:val="0"/>
          <w:numId w:val="0"/>
        </w:numPr>
        <w:shd w:val="clear" w:color="auto" w:fill="auto"/>
        <w:spacing w:beforeLines="0" w:afterLines="0" w:line="360" w:lineRule="auto"/>
        <w:ind w:firstLine="640" w:firstLineChars="200"/>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五、政府信息公开工作存在的主要问题及改进情况</w:t>
      </w:r>
    </w:p>
    <w:p>
      <w:pPr>
        <w:spacing w:line="360" w:lineRule="auto"/>
        <w:ind w:firstLine="640" w:firstLineChars="20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2023年，中卫市气象局政府信息公开工作正常开展，并取得了一定的成效，但公开平台管理能力、政府信息公开规范化、标准化水平仍需加强，主动公开的及时性有待进一步提高，部分重点领域信息公开质量和效益仍需进一步提升，政策解读的及时性和社会关切的回应力度还需要进一步加大，对新要求的学习培训力度仍需进一步提高。</w:t>
      </w:r>
    </w:p>
    <w:p>
      <w:pPr>
        <w:spacing w:line="360" w:lineRule="auto"/>
        <w:ind w:firstLine="640" w:firstLineChars="20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2024年，中卫市气象局将进一步贯彻落实《中华人民共和国政府信息公开条例》以及《气象部门政府信息公开办法》，认真分析研究公众对政府网站政府信息公开的需求，努力满足公众对政府信息公开的要求，并将重点做好以下几个方面：一是进一步加强组织领导，将政府信息公开的要求贯彻到气象工作的具体过程中，切实做好政府信息公开工作；二是进一步加强政府信息公开的培训，继续深入学习《中华人民共和国政府信息公开条例》《气象部门政府信息公开办法》，提高政府信息公开工作人员的整体水平，推动政府信息公开工作规范化、标准化。三是进一步加强重点领域的政府信息公开，重点做好行政权力、财政资金、公共领域的信息公开。四是持续拓宽政府信息公开的渠道，大力发挥新媒体平台和渠道的宣传作用，及时发布、回应群众关切，保障信息公开各渠道的畅通性、准确性、时效性，做到政府信息公开常态化。</w:t>
      </w:r>
    </w:p>
    <w:p>
      <w:pPr>
        <w:widowControl/>
        <w:numPr>
          <w:ilvl w:val="0"/>
          <w:numId w:val="0"/>
        </w:numPr>
        <w:shd w:val="clear" w:color="auto" w:fill="auto"/>
        <w:spacing w:beforeLines="0" w:afterLines="0" w:line="360" w:lineRule="auto"/>
        <w:ind w:firstLine="640" w:firstLineChars="200"/>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六、其他需要报告的事项</w:t>
      </w:r>
    </w:p>
    <w:p>
      <w:pPr>
        <w:pStyle w:val="5"/>
        <w:keepNext w:val="0"/>
        <w:keepLines w:val="0"/>
        <w:widowControl/>
        <w:suppressLineNumbers w:val="0"/>
        <w:spacing w:before="0" w:beforeAutospacing="0" w:after="0" w:afterAutospacing="0" w:line="240" w:lineRule="auto"/>
        <w:ind w:left="0" w:right="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本报告的电子版可以在宁夏气象局政府网站（</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HYPERLINK "http://nx.cma.gov.cn/"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http://nx.cma.gov.cn/</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）下载。如对本年度报告有任何疑问，请与宁夏气象局办公室联系（地址：宁</w:t>
      </w:r>
      <w:bookmarkStart w:id="0" w:name="_GoBack"/>
      <w:bookmarkEnd w:id="0"/>
      <w:r>
        <w:rPr>
          <w:rFonts w:hint="eastAsia" w:ascii="仿宋_GB2312" w:hAnsi="仿宋_GB2312" w:eastAsia="仿宋_GB2312" w:cs="仿宋_GB2312"/>
          <w:color w:val="auto"/>
          <w:sz w:val="32"/>
          <w:szCs w:val="32"/>
          <w:lang w:val="en-US" w:eastAsia="zh-CN"/>
        </w:rPr>
        <w:t>夏银川市金凤区新昌西路71号；邮编：750001；联系电话：0951-5029825）。</w:t>
      </w:r>
    </w:p>
    <w:p>
      <w:pPr>
        <w:spacing w:beforeLines="0" w:afterLines="0" w:line="360" w:lineRule="auto"/>
        <w:ind w:firstLine="480" w:firstLineChars="200"/>
        <w:rPr>
          <w:rFonts w:hint="eastAsia" w:ascii="宋体" w:hAnsi="宋体" w:eastAsia="宋体" w:cs="宋体"/>
          <w:bCs/>
          <w:color w:val="auto"/>
          <w:sz w:val="24"/>
          <w:szCs w:val="24"/>
          <w:lang w:val="en-US" w:eastAsia="zh-CN"/>
        </w:rPr>
      </w:pPr>
    </w:p>
    <w:p>
      <w:pPr>
        <w:spacing w:beforeLines="0" w:afterLines="0" w:line="576" w:lineRule="exact"/>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EIBY4OcBAADH&#10;AwAADgAAAAAAAAABACAAAAAfAQAAZHJzL2Uyb0RvYy54bWxQSwUGAAAAAAYABgBZAQAAeA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7"/>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00000000"/>
    <w:rsid w:val="025D093A"/>
    <w:rsid w:val="040E459D"/>
    <w:rsid w:val="04B37C8B"/>
    <w:rsid w:val="13A95BD0"/>
    <w:rsid w:val="14270F49"/>
    <w:rsid w:val="16024FBA"/>
    <w:rsid w:val="16CE733E"/>
    <w:rsid w:val="17D2418F"/>
    <w:rsid w:val="1EFD7FE8"/>
    <w:rsid w:val="2AEF239E"/>
    <w:rsid w:val="2E8E7EF9"/>
    <w:rsid w:val="302812B5"/>
    <w:rsid w:val="3B003F2D"/>
    <w:rsid w:val="434D41C0"/>
    <w:rsid w:val="4379223D"/>
    <w:rsid w:val="444B0914"/>
    <w:rsid w:val="573D6508"/>
    <w:rsid w:val="5BA469C9"/>
    <w:rsid w:val="5C713B66"/>
    <w:rsid w:val="5D972077"/>
    <w:rsid w:val="5F7A39FE"/>
    <w:rsid w:val="657A2426"/>
    <w:rsid w:val="65B31A18"/>
    <w:rsid w:val="67616E11"/>
    <w:rsid w:val="681349F0"/>
    <w:rsid w:val="6CB76371"/>
    <w:rsid w:val="76CA2B75"/>
    <w:rsid w:val="77A476D0"/>
    <w:rsid w:val="7DCB7CBD"/>
    <w:rsid w:val="F73FE9B1"/>
    <w:rsid w:val="FFFF065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tLeast"/>
      <w:outlineLvl w:val="0"/>
    </w:pPr>
    <w:rPr>
      <w:b/>
      <w:bCs/>
      <w:kern w:val="44"/>
      <w:sz w:val="44"/>
      <w:szCs w:val="44"/>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jc w:val="left"/>
    </w:pPr>
    <w:rPr>
      <w:sz w:val="18"/>
    </w:rPr>
  </w:style>
  <w:style w:type="paragraph" w:styleId="4">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autoRedefine/>
    <w:qFormat/>
    <w:uiPriority w:val="0"/>
  </w:style>
  <w:style w:type="character" w:styleId="9">
    <w:name w:val="Hyperlink"/>
    <w:autoRedefine/>
    <w:qFormat/>
    <w:uiPriority w:val="0"/>
    <w:rPr>
      <w:color w:val="0000FF"/>
      <w:u w:val="none"/>
    </w:rPr>
  </w:style>
  <w:style w:type="paragraph" w:customStyle="1" w:styleId="10">
    <w:name w:val="Char Char Char Char Char Char Char Char Char1 Char Char Char Char Char Char Char Char Char Char Char Char Char Char Char Char Char Char Char Char Char Char"/>
    <w:basedOn w:val="2"/>
    <w:autoRedefine/>
    <w:qFormat/>
    <w:uiPriority w:val="0"/>
    <w:pPr>
      <w:snapToGrid w:val="0"/>
      <w:spacing w:before="240" w:after="240" w:line="348" w:lineRule="auto"/>
    </w:pPr>
    <w:rPr>
      <w:rFonts w:ascii="Tahoma" w:hAnsi="Tahoma" w:eastAsia="宋体"/>
      <w:bCs w:val="0"/>
      <w:kern w:val="2"/>
      <w:sz w:val="24"/>
      <w:szCs w:val="20"/>
    </w:rPr>
  </w:style>
  <w:style w:type="character" w:customStyle="1" w:styleId="11">
    <w:name w:val="font01"/>
    <w:basedOn w:val="7"/>
    <w:autoRedefine/>
    <w:qFormat/>
    <w:uiPriority w:val="0"/>
    <w:rPr>
      <w:rFonts w:hint="eastAsia" w:ascii="宋体" w:hAnsi="宋体" w:eastAsia="宋体" w:cs="宋体"/>
      <w:color w:val="000000"/>
      <w:sz w:val="20"/>
      <w:szCs w:val="20"/>
      <w:u w:val="none"/>
    </w:rPr>
  </w:style>
  <w:style w:type="character" w:customStyle="1" w:styleId="12">
    <w:name w:val="font31"/>
    <w:basedOn w:val="7"/>
    <w:autoRedefine/>
    <w:qFormat/>
    <w:uiPriority w:val="0"/>
    <w:rPr>
      <w:rFonts w:hint="eastAsia" w:ascii="楷体" w:hAnsi="楷体" w:eastAsia="楷体" w:cs="楷体"/>
      <w:color w:val="000000"/>
      <w:sz w:val="20"/>
      <w:szCs w:val="20"/>
      <w:u w:val="none"/>
    </w:rPr>
  </w:style>
  <w:style w:type="character" w:customStyle="1" w:styleId="13">
    <w:name w:val="font11"/>
    <w:basedOn w:val="7"/>
    <w:autoRedefine/>
    <w:qFormat/>
    <w:uiPriority w:val="0"/>
    <w:rPr>
      <w:rFonts w:hint="eastAsia" w:ascii="宋体" w:hAnsi="宋体" w:eastAsia="宋体" w:cs="宋体"/>
      <w:b/>
      <w:bCs/>
      <w:color w:val="000000"/>
      <w:sz w:val="20"/>
      <w:szCs w:val="20"/>
      <w:u w:val="none"/>
    </w:rPr>
  </w:style>
  <w:style w:type="character" w:customStyle="1" w:styleId="14">
    <w:name w:val="font41"/>
    <w:basedOn w:val="7"/>
    <w:autoRedefine/>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1757</Words>
  <Characters>1791</Characters>
  <Lines>34</Lines>
  <Paragraphs>9</Paragraphs>
  <TotalTime>11</TotalTime>
  <ScaleCrop>false</ScaleCrop>
  <LinksUpToDate>false</LinksUpToDate>
  <CharactersWithSpaces>1791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2021-10-27T17:55:00Z</dcterms:created>
  <dc:creator>李小平</dc:creator>
  <cp:lastModifiedBy>杨婧</cp:lastModifiedBy>
  <dcterms:modified xsi:type="dcterms:W3CDTF">2024-01-16T06:22:50Z</dcterms:modified>
  <dc:title>国务院办公厅政府信息与政务公开办公室</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6473311894C045E98DE71106C1C27C80</vt:lpwstr>
  </property>
</Properties>
</file>